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4C22" w14:textId="77777777" w:rsidR="002402BF" w:rsidRPr="002402BF" w:rsidRDefault="002402BF" w:rsidP="002402BF">
      <w:pPr>
        <w:autoSpaceDE w:val="0"/>
        <w:autoSpaceDN w:val="0"/>
        <w:adjustRightInd w:val="0"/>
        <w:jc w:val="center"/>
        <w:rPr>
          <w:rFonts w:cs="Times New Roman"/>
          <w:b/>
          <w:bCs/>
          <w:szCs w:val="24"/>
        </w:rPr>
      </w:pPr>
    </w:p>
    <w:p w14:paraId="383D7CBC" w14:textId="77777777" w:rsidR="002402BF" w:rsidRPr="002402BF" w:rsidRDefault="002402BF" w:rsidP="002402BF">
      <w:pPr>
        <w:autoSpaceDE w:val="0"/>
        <w:autoSpaceDN w:val="0"/>
        <w:adjustRightInd w:val="0"/>
        <w:jc w:val="center"/>
        <w:outlineLvl w:val="1"/>
        <w:rPr>
          <w:rFonts w:cs="Times New Roman"/>
          <w:b/>
          <w:bCs/>
          <w:szCs w:val="24"/>
        </w:rPr>
      </w:pPr>
      <w:bookmarkStart w:id="0" w:name="_Toc221525209"/>
      <w:r w:rsidRPr="002402BF">
        <w:rPr>
          <w:rFonts w:cs="Times New Roman"/>
          <w:b/>
          <w:bCs/>
          <w:szCs w:val="24"/>
        </w:rPr>
        <w:t>Introductory Comment</w:t>
      </w:r>
      <w:bookmarkEnd w:id="0"/>
    </w:p>
    <w:p w14:paraId="29E6FD9B" w14:textId="77777777" w:rsidR="002402BF" w:rsidRPr="002402BF" w:rsidRDefault="002402BF" w:rsidP="002402BF">
      <w:pPr>
        <w:rPr>
          <w:rFonts w:cs="Times New Roman"/>
          <w:szCs w:val="24"/>
        </w:rPr>
      </w:pPr>
    </w:p>
    <w:p w14:paraId="1D9BFDD3"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Employment discrimination law under Title VII of the Civil Rights Act of 1964 (Title VII), codified as Subchapter VI of Chapter 21 of title 42 of the United States Code, 42 U.S.C. § 2000e </w:t>
      </w:r>
      <w:r w:rsidRPr="002402BF">
        <w:rPr>
          <w:rFonts w:cs="Times New Roman"/>
          <w:i/>
          <w:iCs/>
          <w:szCs w:val="24"/>
        </w:rPr>
        <w:t>et seq</w:t>
      </w:r>
      <w:r w:rsidRPr="002402BF">
        <w:rPr>
          <w:rFonts w:cs="Times New Roman"/>
          <w:szCs w:val="24"/>
        </w:rPr>
        <w:t xml:space="preserve">., is both complex and evolving. </w:t>
      </w:r>
    </w:p>
    <w:p w14:paraId="04654B51" w14:textId="77777777" w:rsidR="002402BF" w:rsidRPr="002402BF" w:rsidRDefault="002402BF" w:rsidP="002402BF">
      <w:pPr>
        <w:autoSpaceDE w:val="0"/>
        <w:autoSpaceDN w:val="0"/>
        <w:adjustRightInd w:val="0"/>
        <w:ind w:firstLine="720"/>
        <w:rPr>
          <w:rFonts w:cs="Times New Roman"/>
          <w:szCs w:val="24"/>
        </w:rPr>
      </w:pPr>
    </w:p>
    <w:p w14:paraId="3D0716BA" w14:textId="77777777" w:rsidR="002402BF" w:rsidRPr="002402BF" w:rsidRDefault="002402BF" w:rsidP="002402BF">
      <w:pPr>
        <w:autoSpaceDE w:val="0"/>
        <w:autoSpaceDN w:val="0"/>
        <w:adjustRightInd w:val="0"/>
        <w:jc w:val="center"/>
        <w:rPr>
          <w:rFonts w:cs="Times New Roman"/>
          <w:i/>
          <w:iCs/>
          <w:szCs w:val="24"/>
        </w:rPr>
      </w:pPr>
      <w:r w:rsidRPr="002402BF">
        <w:rPr>
          <w:rFonts w:cs="Times New Roman"/>
          <w:i/>
          <w:iCs/>
          <w:szCs w:val="24"/>
        </w:rPr>
        <w:t>Overview of Title VII for Employment Discrimination Claims</w:t>
      </w:r>
    </w:p>
    <w:p w14:paraId="53FFAF2B" w14:textId="77777777" w:rsidR="002402BF" w:rsidRPr="002402BF" w:rsidRDefault="002402BF" w:rsidP="002402BF">
      <w:pPr>
        <w:autoSpaceDE w:val="0"/>
        <w:autoSpaceDN w:val="0"/>
        <w:adjustRightInd w:val="0"/>
        <w:jc w:val="center"/>
        <w:rPr>
          <w:rFonts w:cs="Times New Roman"/>
          <w:szCs w:val="24"/>
        </w:rPr>
      </w:pPr>
    </w:p>
    <w:p w14:paraId="12EFD70C"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 </w:t>
      </w:r>
    </w:p>
    <w:p w14:paraId="16199358" w14:textId="77777777" w:rsidR="002402BF" w:rsidRPr="002402BF" w:rsidRDefault="002402BF" w:rsidP="002402BF">
      <w:pPr>
        <w:autoSpaceDE w:val="0"/>
        <w:autoSpaceDN w:val="0"/>
        <w:adjustRightInd w:val="0"/>
        <w:ind w:firstLine="720"/>
        <w:rPr>
          <w:rFonts w:cs="Times New Roman"/>
          <w:szCs w:val="24"/>
        </w:rPr>
      </w:pPr>
    </w:p>
    <w:p w14:paraId="6E366258" w14:textId="77777777" w:rsidR="002402BF" w:rsidRPr="002402BF" w:rsidRDefault="002402BF" w:rsidP="002402BF">
      <w:pPr>
        <w:adjustRightInd w:val="0"/>
        <w:ind w:firstLine="720"/>
      </w:pPr>
      <w:r w:rsidRPr="002402BF">
        <w:rPr>
          <w:rFonts w:cs="Times New Roman"/>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2402BF">
        <w:rPr>
          <w:rFonts w:cs="Times New Roman"/>
          <w:i/>
          <w:iCs/>
          <w:szCs w:val="24"/>
        </w:rPr>
        <w:t>Pollard v. E.I. du Pont de Nemours &amp; Co</w:t>
      </w:r>
      <w:r w:rsidRPr="002402BF">
        <w:rPr>
          <w:rFonts w:cs="Times New Roman"/>
          <w:szCs w:val="24"/>
        </w:rPr>
        <w:t xml:space="preserve">., 532 U.S. 843, 848 (2001) (holding that the 1991 amendments did not alter the nature of front pay as an equitable remedy provided for in 42 U.S.C. § 2000e-5(g)), </w:t>
      </w:r>
      <w:bookmarkStart w:id="1" w:name="Ch._10_Introductory_Comment"/>
      <w:bookmarkEnd w:id="1"/>
      <w:r w:rsidRPr="002402BF">
        <w:rPr>
          <w:rFonts w:cs="Times New Roman"/>
          <w:szCs w:val="24"/>
        </w:rPr>
        <w:t xml:space="preserve">U.S.C. § 2000e-5(g)); </w:t>
      </w:r>
      <w:r w:rsidRPr="002402BF">
        <w:rPr>
          <w:rFonts w:cs="Times New Roman"/>
          <w:i/>
          <w:iCs/>
          <w:szCs w:val="24"/>
        </w:rPr>
        <w:t>Teutscher v. Woodson</w:t>
      </w:r>
      <w:r w:rsidRPr="002402BF">
        <w:rPr>
          <w:rFonts w:cs="Times New Roman"/>
          <w:szCs w:val="24"/>
        </w:rPr>
        <w:t>, 835 F.3d 936, 954 (9th Cir. 2016) (“Reinstatement and front pay are alternative remedies, which cannot be awarded for the same period of time.”</w:t>
      </w:r>
      <w:r w:rsidRPr="002402BF">
        <w:t xml:space="preserve"> </w:t>
      </w:r>
      <w:r w:rsidRPr="002402BF">
        <w:rPr>
          <w:rFonts w:cs="Times New Roman"/>
          <w:szCs w:val="24"/>
        </w:rPr>
        <w:t xml:space="preserve">(citing </w:t>
      </w:r>
      <w:r w:rsidRPr="002402BF">
        <w:rPr>
          <w:rFonts w:cs="Times New Roman"/>
          <w:i/>
          <w:iCs/>
          <w:szCs w:val="24"/>
        </w:rPr>
        <w:t>Pollard</w:t>
      </w:r>
      <w:r w:rsidRPr="002402BF">
        <w:rPr>
          <w:rFonts w:cs="Times New Roman"/>
          <w:szCs w:val="24"/>
        </w:rPr>
        <w:t>, 532 U.S. at 846)).</w:t>
      </w:r>
    </w:p>
    <w:p w14:paraId="3767BFD5" w14:textId="77777777" w:rsidR="002402BF" w:rsidRPr="002402BF" w:rsidRDefault="002402BF" w:rsidP="002402BF">
      <w:pPr>
        <w:autoSpaceDE w:val="0"/>
        <w:autoSpaceDN w:val="0"/>
        <w:adjustRightInd w:val="0"/>
        <w:ind w:firstLine="720"/>
        <w:rPr>
          <w:rFonts w:cs="Times New Roman"/>
          <w:szCs w:val="24"/>
        </w:rPr>
      </w:pPr>
    </w:p>
    <w:p w14:paraId="22371D95" w14:textId="77777777" w:rsidR="002402BF" w:rsidRPr="002402BF" w:rsidRDefault="002402BF" w:rsidP="002402BF">
      <w:pPr>
        <w:adjustRightInd w:val="0"/>
        <w:ind w:firstLine="720"/>
        <w:rPr>
          <w:rFonts w:cs="Times New Roman"/>
          <w:szCs w:val="24"/>
        </w:rPr>
      </w:pPr>
      <w:r w:rsidRPr="002402BF">
        <w:rPr>
          <w:rFonts w:cs="Times New Roman"/>
          <w:szCs w:val="24"/>
        </w:rPr>
        <w:t xml:space="preserve">Although the Supreme Court has declined to address definitively whether a Title VII plaintiff has a right to a jury trial on the issue of back pay, </w:t>
      </w:r>
      <w:r w:rsidRPr="002402BF">
        <w:rPr>
          <w:rFonts w:cs="Times New Roman"/>
          <w:i/>
          <w:iCs/>
          <w:szCs w:val="24"/>
        </w:rPr>
        <w:t>see Landgraf v. USI Film Prods</w:t>
      </w:r>
      <w:r w:rsidRPr="002402BF">
        <w:rPr>
          <w:rFonts w:cs="Times New Roman"/>
          <w:szCs w:val="24"/>
        </w:rPr>
        <w:t xml:space="preserve">., 511 U.S. 244, 252 n.4 (1994), the Ninth Circuit has held that there is no such right. </w:t>
      </w:r>
      <w:r w:rsidRPr="002402BF">
        <w:rPr>
          <w:rFonts w:cs="Times New Roman"/>
          <w:i/>
          <w:iCs/>
          <w:szCs w:val="24"/>
        </w:rPr>
        <w:t>Lutz v. Glendale Union High Sch</w:t>
      </w:r>
      <w:r w:rsidRPr="002402BF">
        <w:rPr>
          <w:rFonts w:cs="Times New Roman"/>
          <w:szCs w:val="24"/>
        </w:rPr>
        <w:t xml:space="preserve">., 403 F.3d 1061, 1069 (9th Cir. 2005). The holding in </w:t>
      </w:r>
      <w:r w:rsidRPr="002402BF">
        <w:rPr>
          <w:rFonts w:cs="Times New Roman"/>
          <w:i/>
          <w:iCs/>
          <w:szCs w:val="24"/>
        </w:rPr>
        <w:t xml:space="preserve">Pollard </w:t>
      </w:r>
      <w:r w:rsidRPr="002402BF">
        <w:rPr>
          <w:rFonts w:cs="Times New Roman"/>
          <w:szCs w:val="24"/>
        </w:rPr>
        <w:t xml:space="preserve">that front pay is excluded from the statutory limits because it is an equitable remedy suggests that similarly there is no entitlement to a jury trial for that remedy. </w:t>
      </w:r>
      <w:r w:rsidRPr="002402BF">
        <w:rPr>
          <w:rFonts w:cs="Times New Roman"/>
          <w:i/>
          <w:iCs/>
          <w:szCs w:val="24"/>
        </w:rPr>
        <w:t>See Pollard</w:t>
      </w:r>
      <w:r w:rsidRPr="002402BF">
        <w:rPr>
          <w:rFonts w:cs="Times New Roman"/>
          <w:szCs w:val="24"/>
        </w:rPr>
        <w:t>,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For a discussion of rules of special damages that apply to Title VII cases, see</w:t>
      </w:r>
      <w:r w:rsidRPr="002402BF">
        <w:rPr>
          <w:rFonts w:cs="Times New Roman"/>
          <w:i/>
          <w:iCs/>
          <w:szCs w:val="24"/>
        </w:rPr>
        <w:t xml:space="preserve"> </w:t>
      </w:r>
      <w:r w:rsidRPr="002402BF">
        <w:rPr>
          <w:rFonts w:cs="Times New Roman"/>
          <w:szCs w:val="24"/>
        </w:rPr>
        <w:t xml:space="preserve">Chapter 5 (“Damages”), Comments to Instructions 5.2 (Measures of Types of Damages), and Instruction 5.5 (Punitive Damages). </w:t>
      </w:r>
      <w:r w:rsidRPr="002402BF">
        <w:t xml:space="preserve">However, </w:t>
      </w:r>
      <w:r w:rsidRPr="002402BF">
        <w:rPr>
          <w:rFonts w:cs="Times New Roman"/>
          <w:szCs w:val="24"/>
        </w:rPr>
        <w:t xml:space="preserve">front pay can be awarded by a jury as a legal remedy for a state-law cause of action. </w:t>
      </w:r>
      <w:r w:rsidRPr="002402BF">
        <w:rPr>
          <w:rFonts w:cs="Times New Roman"/>
          <w:i/>
          <w:iCs/>
          <w:szCs w:val="24"/>
        </w:rPr>
        <w:t>Teuscher</w:t>
      </w:r>
      <w:r w:rsidRPr="002402BF">
        <w:rPr>
          <w:rFonts w:cs="Times New Roman"/>
          <w:szCs w:val="24"/>
        </w:rPr>
        <w:t xml:space="preserve">, 835 F.3d at 947 n.5 (noting that jury awards of front pay have been upheld where state law provides for that remedy (citing </w:t>
      </w:r>
      <w:r w:rsidRPr="002402BF">
        <w:rPr>
          <w:rFonts w:cs="Times New Roman"/>
          <w:i/>
          <w:iCs/>
          <w:szCs w:val="24"/>
        </w:rPr>
        <w:t>Passatino v. Johnson &amp; Johnson Consumer Prods., Inc.</w:t>
      </w:r>
      <w:r w:rsidRPr="002402BF">
        <w:rPr>
          <w:rFonts w:cs="Times New Roman"/>
          <w:szCs w:val="24"/>
        </w:rPr>
        <w:t>, 212 F.3d 493, 512 (9th Cir. 2000))).</w:t>
      </w:r>
    </w:p>
    <w:p w14:paraId="37769061" w14:textId="77777777" w:rsidR="002402BF" w:rsidRPr="002402BF" w:rsidRDefault="002402BF" w:rsidP="002402BF">
      <w:pPr>
        <w:adjustRightInd w:val="0"/>
        <w:ind w:firstLine="720"/>
      </w:pPr>
    </w:p>
    <w:p w14:paraId="5A8DBC5E" w14:textId="77777777" w:rsidR="002402BF" w:rsidRPr="002402BF" w:rsidRDefault="002402BF" w:rsidP="002402BF">
      <w:pPr>
        <w:widowControl w:val="0"/>
        <w:ind w:firstLine="720"/>
      </w:pPr>
      <w:r w:rsidRPr="002402BF">
        <w:lastRenderedPageBreak/>
        <w:t xml:space="preserve">Further, a </w:t>
      </w:r>
      <w:r w:rsidRPr="002402BF">
        <w:rPr>
          <w:i/>
          <w:iCs/>
        </w:rPr>
        <w:t>McDonnell Douglas</w:t>
      </w:r>
      <w:r w:rsidRPr="002402BF">
        <w:t xml:space="preserve"> burden-shifting instruction should not be given in a Title VII case. </w:t>
      </w:r>
      <w:r w:rsidRPr="002402BF">
        <w:rPr>
          <w:i/>
          <w:iCs/>
        </w:rPr>
        <w:t>Costa v. Desert Palace, Inc.</w:t>
      </w:r>
      <w:r w:rsidRPr="002402BF">
        <w:t xml:space="preserve">, 299 F.3d 838, 855 (9th Cir. 2002) (en banc) (“[I]t is not normally appropriate to introduce the </w:t>
      </w:r>
      <w:r w:rsidRPr="002402BF">
        <w:rPr>
          <w:i/>
          <w:iCs/>
        </w:rPr>
        <w:t>McDonnell Douglas</w:t>
      </w:r>
      <w:r w:rsidRPr="002402BF">
        <w:t xml:space="preserve"> burden-shifting framework to the jury.”), </w:t>
      </w:r>
      <w:r w:rsidRPr="002402BF">
        <w:rPr>
          <w:i/>
          <w:iCs/>
        </w:rPr>
        <w:t>aff’d</w:t>
      </w:r>
      <w:r w:rsidRPr="002402BF">
        <w:t xml:space="preserve">, 539 U.S. 90 (2003); </w:t>
      </w:r>
      <w:r w:rsidRPr="002402BF">
        <w:rPr>
          <w:i/>
          <w:iCs/>
        </w:rPr>
        <w:t>see also Sanghvi v. City of Claremont</w:t>
      </w:r>
      <w:r w:rsidRPr="002402BF">
        <w:t xml:space="preserve">, 328 F.3d 532, 540 (9th Cir. 2003) (“[I]t is error to charge the jury with the elements of the </w:t>
      </w:r>
      <w:r w:rsidRPr="002402BF">
        <w:rPr>
          <w:i/>
          <w:iCs/>
        </w:rPr>
        <w:t>McDonnell Douglas</w:t>
      </w:r>
      <w:r w:rsidRPr="002402BF">
        <w:t xml:space="preserve"> prima facie case.”). Cases discussing pretext and burden shifting arise only in the context of</w:t>
      </w:r>
      <w:r w:rsidRPr="002402BF">
        <w:rPr>
          <w:i/>
          <w:iCs/>
        </w:rPr>
        <w:t xml:space="preserve"> </w:t>
      </w:r>
      <w:r w:rsidRPr="002402BF">
        <w:t xml:space="preserve">summary judgment and motions for judgment as a matter of law. </w:t>
      </w:r>
      <w:r w:rsidRPr="002402BF">
        <w:rPr>
          <w:i/>
          <w:iCs/>
        </w:rPr>
        <w:t>See, e.g.</w:t>
      </w:r>
      <w:r w:rsidRPr="002402BF">
        <w:t xml:space="preserve">, </w:t>
      </w:r>
      <w:r w:rsidRPr="002402BF">
        <w:rPr>
          <w:i/>
          <w:iCs/>
        </w:rPr>
        <w:t>Opara v. Yellen</w:t>
      </w:r>
      <w:r w:rsidRPr="002402BF">
        <w:t xml:space="preserve">, 57 F.4th 709, 721 (9th Cir. 2023); </w:t>
      </w:r>
      <w:r w:rsidRPr="002402BF">
        <w:rPr>
          <w:i/>
          <w:iCs/>
        </w:rPr>
        <w:t>Yartzoff v. Thomas</w:t>
      </w:r>
      <w:r w:rsidRPr="002402BF">
        <w:t>, 809 F.2d 1371, 1375 (9th Cir. 1987).</w:t>
      </w:r>
    </w:p>
    <w:p w14:paraId="0A8047E8" w14:textId="77777777" w:rsidR="002402BF" w:rsidRPr="002402BF" w:rsidRDefault="002402BF" w:rsidP="002402BF">
      <w:pPr>
        <w:autoSpaceDE w:val="0"/>
        <w:autoSpaceDN w:val="0"/>
        <w:adjustRightInd w:val="0"/>
        <w:rPr>
          <w:rFonts w:cs="Times New Roman"/>
          <w:szCs w:val="24"/>
        </w:rPr>
      </w:pPr>
    </w:p>
    <w:p w14:paraId="76533604" w14:textId="77777777" w:rsidR="002402BF" w:rsidRPr="002402BF" w:rsidRDefault="002402BF" w:rsidP="002402BF">
      <w:pPr>
        <w:autoSpaceDE w:val="0"/>
        <w:autoSpaceDN w:val="0"/>
        <w:adjustRightInd w:val="0"/>
        <w:jc w:val="center"/>
        <w:rPr>
          <w:rFonts w:cs="Times New Roman"/>
          <w:i/>
          <w:iCs/>
          <w:szCs w:val="24"/>
        </w:rPr>
      </w:pPr>
      <w:r w:rsidRPr="002402BF">
        <w:rPr>
          <w:rFonts w:cs="Times New Roman"/>
          <w:i/>
          <w:iCs/>
          <w:szCs w:val="24"/>
        </w:rPr>
        <w:t>The Evolving Interpretation of “Because of” and But-for Causation in Title VII Cases</w:t>
      </w:r>
    </w:p>
    <w:p w14:paraId="714C3422" w14:textId="77777777" w:rsidR="002402BF" w:rsidRPr="002402BF" w:rsidRDefault="002402BF" w:rsidP="002402BF">
      <w:pPr>
        <w:autoSpaceDE w:val="0"/>
        <w:autoSpaceDN w:val="0"/>
        <w:adjustRightInd w:val="0"/>
        <w:jc w:val="center"/>
        <w:rPr>
          <w:rFonts w:cs="Times New Roman"/>
          <w:szCs w:val="24"/>
        </w:rPr>
      </w:pPr>
    </w:p>
    <w:p w14:paraId="1378DFC9"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1F2DD6FF" w14:textId="77777777" w:rsidR="002402BF" w:rsidRPr="002402BF" w:rsidRDefault="002402BF" w:rsidP="002402BF">
      <w:pPr>
        <w:autoSpaceDE w:val="0"/>
        <w:autoSpaceDN w:val="0"/>
        <w:adjustRightInd w:val="0"/>
        <w:ind w:firstLine="720"/>
        <w:rPr>
          <w:rFonts w:cs="Times New Roman"/>
          <w:szCs w:val="24"/>
        </w:rPr>
      </w:pPr>
    </w:p>
    <w:p w14:paraId="3C9DB839"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As explained by the Supreme Court in </w:t>
      </w:r>
      <w:r w:rsidRPr="002402BF">
        <w:rPr>
          <w:rFonts w:cs="Times New Roman"/>
          <w:i/>
          <w:iCs/>
          <w:szCs w:val="24"/>
        </w:rPr>
        <w:t>University of Texas Southwestern Medical Center v. Nassar</w:t>
      </w:r>
      <w:r w:rsidRPr="002402B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2402BF">
        <w:rPr>
          <w:rFonts w:cs="Times New Roman"/>
          <w:i/>
          <w:iCs/>
          <w:szCs w:val="24"/>
        </w:rPr>
        <w:t>Id</w:t>
      </w:r>
      <w:r w:rsidRPr="002402BF">
        <w:rPr>
          <w:rFonts w:cs="Times New Roman"/>
          <w:szCs w:val="24"/>
        </w:rPr>
        <w:t xml:space="preserve">. at 347-48. Claims alleging discrimination based on these latter forms of protected employee conduct often are referred to as retaliation claims. </w:t>
      </w:r>
    </w:p>
    <w:p w14:paraId="09B13668" w14:textId="77777777" w:rsidR="002402BF" w:rsidRPr="002402BF" w:rsidRDefault="002402BF" w:rsidP="002402BF">
      <w:pPr>
        <w:autoSpaceDE w:val="0"/>
        <w:autoSpaceDN w:val="0"/>
        <w:adjustRightInd w:val="0"/>
        <w:ind w:firstLine="720"/>
        <w:rPr>
          <w:rFonts w:cs="Times New Roman"/>
          <w:szCs w:val="24"/>
        </w:rPr>
      </w:pPr>
    </w:p>
    <w:p w14:paraId="6E80E322"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2402BF">
        <w:rPr>
          <w:rFonts w:cs="Times New Roman"/>
          <w:i/>
          <w:iCs/>
          <w:szCs w:val="24"/>
        </w:rPr>
        <w:t xml:space="preserve">because of </w:t>
      </w:r>
      <w:r w:rsidRPr="002402BF">
        <w:rPr>
          <w:rFonts w:cs="Times New Roman"/>
          <w:szCs w:val="24"/>
        </w:rPr>
        <w:t xml:space="preserve">such individual’s race, color, religion, sex, or national origin” (emphasis added). In </w:t>
      </w:r>
      <w:r w:rsidRPr="002402BF">
        <w:rPr>
          <w:rFonts w:cs="Times New Roman"/>
          <w:i/>
          <w:iCs/>
          <w:szCs w:val="24"/>
        </w:rPr>
        <w:t>Price Waterhouse v. Hopkins</w:t>
      </w:r>
      <w:r w:rsidRPr="002402BF">
        <w:rPr>
          <w:rFonts w:cs="Times New Roman"/>
          <w:szCs w:val="24"/>
        </w:rPr>
        <w:t xml:space="preserve">, 490 U.S. 228 (1989), the Supreme Court addressed what it means for an employment action to be taken “because of” an individual’s protected characteristic. The Supreme Court in </w:t>
      </w:r>
      <w:r w:rsidRPr="002402BF">
        <w:rPr>
          <w:rFonts w:cs="Times New Roman"/>
          <w:i/>
          <w:iCs/>
          <w:szCs w:val="24"/>
        </w:rPr>
        <w:t xml:space="preserve">Nassar </w:t>
      </w:r>
      <w:r w:rsidRPr="002402BF">
        <w:rPr>
          <w:rFonts w:cs="Times New Roman"/>
          <w:szCs w:val="24"/>
        </w:rPr>
        <w:t xml:space="preserve">explained the </w:t>
      </w:r>
      <w:r w:rsidRPr="002402BF">
        <w:rPr>
          <w:rFonts w:cs="Times New Roman"/>
          <w:i/>
          <w:iCs/>
          <w:szCs w:val="24"/>
        </w:rPr>
        <w:t xml:space="preserve">Price Waterhouse </w:t>
      </w:r>
      <w:r w:rsidRPr="002402BF">
        <w:rPr>
          <w:rFonts w:cs="Times New Roman"/>
          <w:szCs w:val="24"/>
        </w:rPr>
        <w:t xml:space="preserve">decision as follows: </w:t>
      </w:r>
    </w:p>
    <w:p w14:paraId="619687C2" w14:textId="77777777" w:rsidR="002402BF" w:rsidRPr="002402BF" w:rsidRDefault="002402BF" w:rsidP="002402BF">
      <w:pPr>
        <w:autoSpaceDE w:val="0"/>
        <w:autoSpaceDN w:val="0"/>
        <w:adjustRightInd w:val="0"/>
        <w:ind w:firstLine="720"/>
        <w:rPr>
          <w:rFonts w:cs="Times New Roman"/>
          <w:szCs w:val="24"/>
        </w:rPr>
      </w:pPr>
    </w:p>
    <w:p w14:paraId="66E319C8"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Although no opinion in [</w:t>
      </w:r>
      <w:r w:rsidRPr="002402BF">
        <w:rPr>
          <w:rFonts w:cs="Times New Roman"/>
          <w:i/>
          <w:iCs/>
          <w:szCs w:val="24"/>
        </w:rPr>
        <w:t>Price Waterhouse</w:t>
      </w:r>
      <w:r w:rsidRPr="002402B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3160F49C" w14:textId="77777777" w:rsidR="002402BF" w:rsidRPr="002402BF" w:rsidRDefault="002402BF" w:rsidP="002402BF">
      <w:pPr>
        <w:autoSpaceDE w:val="0"/>
        <w:autoSpaceDN w:val="0"/>
        <w:adjustRightInd w:val="0"/>
        <w:ind w:left="1440" w:right="1440"/>
        <w:jc w:val="both"/>
        <w:rPr>
          <w:rFonts w:cs="Times New Roman"/>
          <w:szCs w:val="24"/>
        </w:rPr>
      </w:pPr>
    </w:p>
    <w:p w14:paraId="6F94CE2D" w14:textId="77777777" w:rsidR="002402BF" w:rsidRPr="002402BF" w:rsidRDefault="002402BF" w:rsidP="002402BF">
      <w:pPr>
        <w:autoSpaceDE w:val="0"/>
        <w:autoSpaceDN w:val="0"/>
        <w:adjustRightInd w:val="0"/>
        <w:rPr>
          <w:rFonts w:cs="Times New Roman"/>
          <w:szCs w:val="24"/>
        </w:rPr>
      </w:pPr>
      <w:r w:rsidRPr="002402BF">
        <w:rPr>
          <w:rFonts w:cs="Times New Roman"/>
          <w:i/>
          <w:iCs/>
          <w:szCs w:val="24"/>
        </w:rPr>
        <w:lastRenderedPageBreak/>
        <w:t>Nassar</w:t>
      </w:r>
      <w:r w:rsidRPr="002402BF">
        <w:rPr>
          <w:rFonts w:cs="Times New Roman"/>
          <w:szCs w:val="24"/>
        </w:rPr>
        <w:t xml:space="preserve">, 570 U.S. at 348 (citations to separate opinions in </w:t>
      </w:r>
      <w:r w:rsidRPr="002402BF">
        <w:rPr>
          <w:rFonts w:cs="Times New Roman"/>
          <w:i/>
          <w:iCs/>
          <w:szCs w:val="24"/>
        </w:rPr>
        <w:t xml:space="preserve">Price Waterhouse </w:t>
      </w:r>
      <w:r w:rsidRPr="002402BF">
        <w:rPr>
          <w:rFonts w:cs="Times New Roman"/>
          <w:szCs w:val="24"/>
        </w:rPr>
        <w:t xml:space="preserve">omitted). The Supreme Court in </w:t>
      </w:r>
      <w:r w:rsidRPr="002402BF">
        <w:rPr>
          <w:rFonts w:cs="Times New Roman"/>
          <w:i/>
          <w:iCs/>
          <w:szCs w:val="24"/>
        </w:rPr>
        <w:t xml:space="preserve">Nassar </w:t>
      </w:r>
      <w:r w:rsidRPr="002402BF">
        <w:rPr>
          <w:rFonts w:cs="Times New Roman"/>
          <w:szCs w:val="24"/>
        </w:rPr>
        <w:t xml:space="preserve">continued: </w:t>
      </w:r>
    </w:p>
    <w:p w14:paraId="3AB67575" w14:textId="77777777" w:rsidR="002402BF" w:rsidRPr="002402BF" w:rsidRDefault="002402BF" w:rsidP="002402BF">
      <w:pPr>
        <w:autoSpaceDE w:val="0"/>
        <w:autoSpaceDN w:val="0"/>
        <w:adjustRightInd w:val="0"/>
        <w:rPr>
          <w:rFonts w:cs="Times New Roman"/>
          <w:szCs w:val="24"/>
        </w:rPr>
      </w:pPr>
    </w:p>
    <w:p w14:paraId="04C4CC92" w14:textId="77777777" w:rsidR="002402BF" w:rsidRPr="002402BF" w:rsidRDefault="002402BF" w:rsidP="002402BF">
      <w:pPr>
        <w:autoSpaceDE w:val="0"/>
        <w:autoSpaceDN w:val="0"/>
        <w:adjustRightInd w:val="0"/>
        <w:ind w:left="720" w:right="720"/>
        <w:jc w:val="both"/>
        <w:rPr>
          <w:rFonts w:cs="Times New Roman"/>
          <w:szCs w:val="24"/>
        </w:rPr>
      </w:pPr>
      <w:bookmarkStart w:id="2" w:name="_Hlk225423410"/>
      <w:r w:rsidRPr="002402B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2402BF">
        <w:rPr>
          <w:rFonts w:cs="Times New Roman"/>
          <w:i/>
          <w:iCs/>
          <w:szCs w:val="24"/>
        </w:rPr>
        <w:t xml:space="preserve">Price Waterhouse </w:t>
      </w:r>
      <w:r w:rsidRPr="002402BF">
        <w:rPr>
          <w:rFonts w:cs="Times New Roman"/>
          <w:szCs w:val="24"/>
        </w:rPr>
        <w:t xml:space="preserve">in part but also rejected it to a substantial degree. The legislation first added a new subsection to the end of § 2000e-2, </w:t>
      </w:r>
      <w:r w:rsidRPr="002402BF">
        <w:rPr>
          <w:rFonts w:cs="Times New Roman"/>
          <w:i/>
          <w:iCs/>
          <w:szCs w:val="24"/>
        </w:rPr>
        <w:t>i.e</w:t>
      </w:r>
      <w:r w:rsidRPr="002402BF">
        <w:rPr>
          <w:rFonts w:cs="Times New Roman"/>
          <w:szCs w:val="24"/>
        </w:rPr>
        <w:t xml:space="preserve">., Title VII’s principal ban on status-based discrimination. </w:t>
      </w:r>
      <w:r w:rsidRPr="002402BF">
        <w:rPr>
          <w:rFonts w:cs="Times New Roman"/>
          <w:i/>
          <w:iCs/>
          <w:szCs w:val="24"/>
        </w:rPr>
        <w:t xml:space="preserve">See </w:t>
      </w:r>
      <w:r w:rsidRPr="002402BF">
        <w:rPr>
          <w:rFonts w:cs="Times New Roman"/>
          <w:szCs w:val="24"/>
        </w:rPr>
        <w:t>§ 107(a), 105 Stat. 1075. The new provision, § 2000e-2(m), states:</w:t>
      </w:r>
    </w:p>
    <w:bookmarkEnd w:id="2"/>
    <w:p w14:paraId="0CE89FF6" w14:textId="77777777" w:rsidR="002402BF" w:rsidRPr="002402BF" w:rsidRDefault="002402BF" w:rsidP="002402BF">
      <w:pPr>
        <w:autoSpaceDE w:val="0"/>
        <w:autoSpaceDN w:val="0"/>
        <w:adjustRightInd w:val="0"/>
        <w:ind w:left="720" w:right="720"/>
        <w:jc w:val="both"/>
        <w:rPr>
          <w:rFonts w:cs="Times New Roman"/>
          <w:szCs w:val="24"/>
        </w:rPr>
      </w:pPr>
    </w:p>
    <w:p w14:paraId="534D4635" w14:textId="77777777" w:rsidR="002402BF" w:rsidRPr="002402BF" w:rsidRDefault="002402BF" w:rsidP="002402BF">
      <w:pPr>
        <w:tabs>
          <w:tab w:val="left" w:pos="8370"/>
          <w:tab w:val="left" w:pos="8460"/>
        </w:tabs>
        <w:autoSpaceDE w:val="0"/>
        <w:autoSpaceDN w:val="0"/>
        <w:adjustRightInd w:val="0"/>
        <w:ind w:left="1440" w:right="1440"/>
        <w:jc w:val="both"/>
        <w:rPr>
          <w:rFonts w:cs="Times New Roman"/>
          <w:szCs w:val="24"/>
        </w:rPr>
      </w:pPr>
      <w:r w:rsidRPr="002402BF">
        <w:rPr>
          <w:rFonts w:cs="Times New Roman"/>
          <w:szCs w:val="24"/>
        </w:rPr>
        <w:t xml:space="preserve">[A]n unlawful employment practice is established when the complaining party demonstrates that race, color, religion, sex, or national origin was </w:t>
      </w:r>
      <w:r w:rsidRPr="002402BF">
        <w:rPr>
          <w:rFonts w:cs="Times New Roman"/>
          <w:i/>
          <w:iCs/>
          <w:szCs w:val="24"/>
        </w:rPr>
        <w:t xml:space="preserve">a motivating factor </w:t>
      </w:r>
      <w:r w:rsidRPr="002402BF">
        <w:rPr>
          <w:rFonts w:cs="Times New Roman"/>
          <w:szCs w:val="24"/>
        </w:rPr>
        <w:t xml:space="preserve">for any employment practice, even though other factors also motivated the practice. </w:t>
      </w:r>
    </w:p>
    <w:p w14:paraId="568B2EAD" w14:textId="77777777" w:rsidR="002402BF" w:rsidRPr="002402BF" w:rsidRDefault="002402BF" w:rsidP="002402BF">
      <w:pPr>
        <w:autoSpaceDE w:val="0"/>
        <w:autoSpaceDN w:val="0"/>
        <w:adjustRightInd w:val="0"/>
        <w:ind w:left="720" w:right="720"/>
        <w:jc w:val="both"/>
        <w:rPr>
          <w:rFonts w:cs="Times New Roman"/>
          <w:szCs w:val="24"/>
        </w:rPr>
      </w:pPr>
    </w:p>
    <w:p w14:paraId="348A915E"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 xml:space="preserve">This, of course, is a lessened causation standard. </w:t>
      </w:r>
    </w:p>
    <w:p w14:paraId="42F799EA" w14:textId="77777777" w:rsidR="002402BF" w:rsidRPr="002402BF" w:rsidRDefault="002402BF" w:rsidP="002402BF">
      <w:pPr>
        <w:autoSpaceDE w:val="0"/>
        <w:autoSpaceDN w:val="0"/>
        <w:adjustRightInd w:val="0"/>
        <w:ind w:left="720" w:firstLine="720"/>
        <w:rPr>
          <w:rFonts w:cs="Times New Roman"/>
          <w:szCs w:val="24"/>
        </w:rPr>
      </w:pPr>
    </w:p>
    <w:p w14:paraId="2FD88CE3" w14:textId="77777777" w:rsidR="002402BF" w:rsidRPr="002402BF" w:rsidRDefault="002402BF" w:rsidP="002402BF">
      <w:pPr>
        <w:autoSpaceDE w:val="0"/>
        <w:autoSpaceDN w:val="0"/>
        <w:adjustRightInd w:val="0"/>
        <w:rPr>
          <w:rFonts w:cs="Times New Roman"/>
          <w:szCs w:val="24"/>
        </w:rPr>
      </w:pPr>
      <w:r w:rsidRPr="002402BF">
        <w:rPr>
          <w:rFonts w:cs="Times New Roman"/>
          <w:i/>
          <w:iCs/>
          <w:szCs w:val="24"/>
        </w:rPr>
        <w:t>Nassar</w:t>
      </w:r>
      <w:r w:rsidRPr="002402BF">
        <w:rPr>
          <w:rFonts w:cs="Times New Roman"/>
          <w:szCs w:val="24"/>
        </w:rPr>
        <w:t xml:space="preserve">, 570 U.S. at 348-49 (emphasis added) (alteration in </w:t>
      </w:r>
      <w:r w:rsidRPr="002402BF">
        <w:rPr>
          <w:rFonts w:cs="Times New Roman"/>
          <w:i/>
          <w:iCs/>
          <w:szCs w:val="24"/>
        </w:rPr>
        <w:t>Nassar</w:t>
      </w:r>
      <w:r w:rsidRPr="002402BF">
        <w:rPr>
          <w:rFonts w:cs="Times New Roman"/>
          <w:szCs w:val="24"/>
        </w:rPr>
        <w:t xml:space="preserve">). </w:t>
      </w:r>
    </w:p>
    <w:p w14:paraId="21A1A301" w14:textId="77777777" w:rsidR="002402BF" w:rsidRPr="002402BF" w:rsidRDefault="002402BF" w:rsidP="002402BF">
      <w:pPr>
        <w:autoSpaceDE w:val="0"/>
        <w:autoSpaceDN w:val="0"/>
        <w:adjustRightInd w:val="0"/>
        <w:rPr>
          <w:rFonts w:cs="Times New Roman"/>
          <w:szCs w:val="24"/>
        </w:rPr>
      </w:pPr>
    </w:p>
    <w:p w14:paraId="50F71C3A"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i/>
          <w:iCs/>
          <w:szCs w:val="24"/>
        </w:rPr>
        <w:t xml:space="preserve">Nassar </w:t>
      </w:r>
      <w:r w:rsidRPr="002402BF">
        <w:rPr>
          <w:rFonts w:cs="Times New Roman"/>
          <w:szCs w:val="24"/>
        </w:rPr>
        <w:t>further explained that:</w:t>
      </w:r>
    </w:p>
    <w:p w14:paraId="3302C61F" w14:textId="77777777" w:rsidR="002402BF" w:rsidRPr="002402BF" w:rsidRDefault="002402BF" w:rsidP="002402BF">
      <w:pPr>
        <w:autoSpaceDE w:val="0"/>
        <w:autoSpaceDN w:val="0"/>
        <w:adjustRightInd w:val="0"/>
        <w:ind w:firstLine="720"/>
        <w:rPr>
          <w:rFonts w:cs="Times New Roman"/>
          <w:szCs w:val="24"/>
        </w:rPr>
      </w:pPr>
    </w:p>
    <w:p w14:paraId="0C776011"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 xml:space="preserve">the 1991 Act substituted a new burden-shifting framework for the one endorsed by </w:t>
      </w:r>
      <w:r w:rsidRPr="002402BF">
        <w:rPr>
          <w:rFonts w:cs="Times New Roman"/>
          <w:i/>
          <w:iCs/>
          <w:szCs w:val="24"/>
        </w:rPr>
        <w:t>Price Waterhouse</w:t>
      </w:r>
      <w:r w:rsidRPr="002402B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5AAD269E" w14:textId="77777777" w:rsidR="002402BF" w:rsidRPr="002402BF" w:rsidRDefault="002402BF" w:rsidP="002402BF">
      <w:pPr>
        <w:autoSpaceDE w:val="0"/>
        <w:autoSpaceDN w:val="0"/>
        <w:adjustRightInd w:val="0"/>
        <w:ind w:left="1440" w:right="1440"/>
        <w:jc w:val="both"/>
        <w:rPr>
          <w:rFonts w:cs="Times New Roman"/>
          <w:szCs w:val="24"/>
        </w:rPr>
      </w:pPr>
    </w:p>
    <w:p w14:paraId="3FAF6F50" w14:textId="77777777" w:rsidR="002402BF" w:rsidRPr="002402BF" w:rsidRDefault="002402BF" w:rsidP="002402BF">
      <w:pPr>
        <w:autoSpaceDE w:val="0"/>
        <w:autoSpaceDN w:val="0"/>
        <w:adjustRightInd w:val="0"/>
        <w:rPr>
          <w:rFonts w:cs="Times New Roman"/>
          <w:szCs w:val="24"/>
        </w:rPr>
      </w:pPr>
      <w:r w:rsidRPr="002402BF">
        <w:rPr>
          <w:rFonts w:cs="Times New Roman"/>
          <w:i/>
          <w:iCs/>
          <w:szCs w:val="24"/>
        </w:rPr>
        <w:t>Id</w:t>
      </w:r>
      <w:r w:rsidRPr="002402BF">
        <w:rPr>
          <w:rFonts w:cs="Times New Roman"/>
          <w:szCs w:val="24"/>
        </w:rPr>
        <w:t xml:space="preserve">. at 349. The Supreme Court’s opinion in </w:t>
      </w:r>
      <w:r w:rsidRPr="002402BF">
        <w:rPr>
          <w:rFonts w:cs="Times New Roman"/>
          <w:i/>
          <w:iCs/>
          <w:szCs w:val="24"/>
        </w:rPr>
        <w:t xml:space="preserve">Nassar </w:t>
      </w:r>
      <w:r w:rsidRPr="002402BF">
        <w:rPr>
          <w:rFonts w:cs="Times New Roman"/>
          <w:szCs w:val="24"/>
        </w:rPr>
        <w:t xml:space="preserve">continued its march through history, stating: “After </w:t>
      </w:r>
      <w:r w:rsidRPr="002402BF">
        <w:rPr>
          <w:rFonts w:cs="Times New Roman"/>
          <w:i/>
          <w:iCs/>
          <w:szCs w:val="24"/>
        </w:rPr>
        <w:t xml:space="preserve">Price Waterhouse </w:t>
      </w:r>
      <w:r w:rsidRPr="002402B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2402BF">
        <w:rPr>
          <w:rFonts w:cs="Times New Roman"/>
          <w:i/>
          <w:iCs/>
          <w:szCs w:val="24"/>
        </w:rPr>
        <w:t>Id</w:t>
      </w:r>
      <w:r w:rsidRPr="002402BF">
        <w:rPr>
          <w:rFonts w:cs="Times New Roman"/>
          <w:szCs w:val="24"/>
        </w:rPr>
        <w:t xml:space="preserve">. (citing </w:t>
      </w:r>
      <w:r w:rsidRPr="002402BF">
        <w:rPr>
          <w:rFonts w:cs="Times New Roman"/>
          <w:i/>
          <w:iCs/>
          <w:szCs w:val="24"/>
        </w:rPr>
        <w:t>Gross v. FBL Fin. Servs., Inc</w:t>
      </w:r>
      <w:r w:rsidRPr="002402BF">
        <w:rPr>
          <w:rFonts w:cs="Times New Roman"/>
          <w:szCs w:val="24"/>
        </w:rPr>
        <w:t xml:space="preserve">., 557 U.S. 167 (2009)). As </w:t>
      </w:r>
      <w:r w:rsidRPr="002402BF">
        <w:rPr>
          <w:rFonts w:cs="Times New Roman"/>
          <w:i/>
          <w:iCs/>
          <w:szCs w:val="24"/>
        </w:rPr>
        <w:t xml:space="preserve">Nassar </w:t>
      </w:r>
      <w:r w:rsidRPr="002402BF">
        <w:rPr>
          <w:rFonts w:cs="Times New Roman"/>
          <w:szCs w:val="24"/>
        </w:rPr>
        <w:t xml:space="preserve">explained: “Much like the Title VII statute in </w:t>
      </w:r>
      <w:r w:rsidRPr="002402BF">
        <w:rPr>
          <w:rFonts w:cs="Times New Roman"/>
          <w:i/>
          <w:iCs/>
          <w:szCs w:val="24"/>
        </w:rPr>
        <w:t>Price Waterhouse</w:t>
      </w:r>
      <w:r w:rsidRPr="002402B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2402BF">
        <w:rPr>
          <w:rFonts w:cs="Times New Roman"/>
          <w:i/>
          <w:iCs/>
          <w:szCs w:val="24"/>
        </w:rPr>
        <w:t xml:space="preserve">because of </w:t>
      </w:r>
      <w:r w:rsidRPr="002402BF">
        <w:rPr>
          <w:rFonts w:cs="Times New Roman"/>
          <w:szCs w:val="24"/>
        </w:rPr>
        <w:t xml:space="preserve">such individual’s age.’” </w:t>
      </w:r>
      <w:r w:rsidRPr="002402BF">
        <w:rPr>
          <w:rFonts w:cs="Times New Roman"/>
          <w:i/>
          <w:iCs/>
          <w:szCs w:val="24"/>
        </w:rPr>
        <w:t>Id</w:t>
      </w:r>
      <w:r w:rsidRPr="002402BF">
        <w:rPr>
          <w:rFonts w:cs="Times New Roman"/>
          <w:szCs w:val="24"/>
        </w:rPr>
        <w:t xml:space="preserve">. at 349-50 (emphasis added) (alterations in original). </w:t>
      </w:r>
    </w:p>
    <w:p w14:paraId="484E29D4" w14:textId="77777777" w:rsidR="002402BF" w:rsidRPr="002402BF" w:rsidRDefault="002402BF" w:rsidP="002402BF">
      <w:pPr>
        <w:autoSpaceDE w:val="0"/>
        <w:autoSpaceDN w:val="0"/>
        <w:adjustRightInd w:val="0"/>
        <w:rPr>
          <w:rFonts w:cs="Times New Roman"/>
          <w:szCs w:val="24"/>
        </w:rPr>
      </w:pPr>
    </w:p>
    <w:p w14:paraId="79A774B7"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In its 2009 decision in </w:t>
      </w:r>
      <w:r w:rsidRPr="002402BF">
        <w:rPr>
          <w:rFonts w:cs="Times New Roman"/>
          <w:i/>
          <w:iCs/>
          <w:szCs w:val="24"/>
        </w:rPr>
        <w:t>Gross</w:t>
      </w:r>
      <w:r w:rsidRPr="002402BF">
        <w:rPr>
          <w:rFonts w:cs="Times New Roman"/>
          <w:szCs w:val="24"/>
        </w:rPr>
        <w:t xml:space="preserve">, the Supreme Court held “that a plaintiff bringing a disparate-treatment claim pursuant to the ADEA must prove, by a preponderance of the evidence, that age was </w:t>
      </w:r>
      <w:r w:rsidRPr="002402BF">
        <w:rPr>
          <w:rFonts w:cs="Times New Roman"/>
          <w:i/>
          <w:iCs/>
          <w:szCs w:val="24"/>
        </w:rPr>
        <w:t xml:space="preserve">the </w:t>
      </w:r>
      <w:r w:rsidRPr="002402BF">
        <w:rPr>
          <w:rFonts w:cs="Times New Roman"/>
          <w:szCs w:val="24"/>
        </w:rPr>
        <w:t xml:space="preserve">‘but-for’ cause of the challenged adverse employment action.” </w:t>
      </w:r>
      <w:r w:rsidRPr="002402BF">
        <w:rPr>
          <w:rFonts w:cs="Times New Roman"/>
          <w:i/>
          <w:iCs/>
          <w:szCs w:val="24"/>
        </w:rPr>
        <w:t>Id</w:t>
      </w:r>
      <w:r w:rsidRPr="002402BF">
        <w:rPr>
          <w:rFonts w:cs="Times New Roman"/>
          <w:szCs w:val="24"/>
        </w:rPr>
        <w:t xml:space="preserve">. at 180 (emphasis added). The use of the definite article “the,” as opposed to the indefinite articles “a” and “an,” implied that there was only one but-for cause. </w:t>
      </w:r>
    </w:p>
    <w:p w14:paraId="2835945B"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lastRenderedPageBreak/>
        <w:t xml:space="preserve">The Supreme Court in </w:t>
      </w:r>
      <w:r w:rsidRPr="002402BF">
        <w:rPr>
          <w:rFonts w:cs="Times New Roman"/>
          <w:i/>
          <w:iCs/>
          <w:szCs w:val="24"/>
        </w:rPr>
        <w:t xml:space="preserve">Nassar </w:t>
      </w:r>
      <w:r w:rsidRPr="002402BF">
        <w:rPr>
          <w:rFonts w:cs="Times New Roman"/>
          <w:szCs w:val="24"/>
        </w:rPr>
        <w:t xml:space="preserve">then applied this analysis from </w:t>
      </w:r>
      <w:r w:rsidRPr="002402BF">
        <w:rPr>
          <w:rFonts w:cs="Times New Roman"/>
          <w:i/>
          <w:iCs/>
          <w:szCs w:val="24"/>
        </w:rPr>
        <w:t xml:space="preserve">Gross </w:t>
      </w:r>
      <w:r w:rsidRPr="002402B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2402BF">
        <w:rPr>
          <w:rFonts w:cs="Times New Roman"/>
          <w:i/>
          <w:iCs/>
          <w:szCs w:val="24"/>
        </w:rPr>
        <w:t>Nassar</w:t>
      </w:r>
      <w:r w:rsidRPr="002402BF">
        <w:rPr>
          <w:rFonts w:cs="Times New Roman"/>
          <w:szCs w:val="24"/>
        </w:rPr>
        <w:t xml:space="preserve">, citing </w:t>
      </w:r>
      <w:r w:rsidRPr="002402BF">
        <w:rPr>
          <w:rFonts w:cs="Times New Roman"/>
          <w:i/>
          <w:iCs/>
          <w:szCs w:val="24"/>
        </w:rPr>
        <w:t>Gross</w:t>
      </w:r>
      <w:r w:rsidRPr="002402BF">
        <w:rPr>
          <w:rFonts w:cs="Times New Roman"/>
          <w:szCs w:val="24"/>
        </w:rPr>
        <w:t xml:space="preserve">, explained: </w:t>
      </w:r>
    </w:p>
    <w:p w14:paraId="2A8934E9" w14:textId="77777777" w:rsidR="002402BF" w:rsidRPr="002402BF" w:rsidRDefault="002402BF" w:rsidP="002402BF">
      <w:pPr>
        <w:autoSpaceDE w:val="0"/>
        <w:autoSpaceDN w:val="0"/>
        <w:adjustRightInd w:val="0"/>
        <w:ind w:firstLine="720"/>
        <w:rPr>
          <w:rFonts w:cs="Times New Roman"/>
          <w:szCs w:val="24"/>
        </w:rPr>
      </w:pPr>
    </w:p>
    <w:p w14:paraId="6CBF9DEB"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 xml:space="preserve">This enactment, like the statute at issue in </w:t>
      </w:r>
      <w:r w:rsidRPr="002402BF">
        <w:rPr>
          <w:rFonts w:cs="Times New Roman"/>
          <w:i/>
          <w:iCs/>
          <w:szCs w:val="24"/>
        </w:rPr>
        <w:t>Gross</w:t>
      </w:r>
      <w:r w:rsidRPr="002402BF">
        <w:rPr>
          <w:rFonts w:cs="Times New Roman"/>
          <w:szCs w:val="24"/>
        </w:rPr>
        <w:t xml:space="preserve">, makes it unlawful for an employer to take adverse employment action against an employee “because” of certain criteria. </w:t>
      </w:r>
      <w:r w:rsidRPr="002402BF">
        <w:rPr>
          <w:rFonts w:cs="Times New Roman"/>
          <w:i/>
          <w:iCs/>
          <w:szCs w:val="24"/>
        </w:rPr>
        <w:t>Cf</w:t>
      </w:r>
      <w:r w:rsidRPr="002402BF">
        <w:rPr>
          <w:rFonts w:cs="Times New Roman"/>
          <w:szCs w:val="24"/>
        </w:rPr>
        <w:t xml:space="preserve">. 29 U.S.C. § 623(a)(1). Given the lack of any meaningful textual difference between the text in this statute and the one in </w:t>
      </w:r>
      <w:r w:rsidRPr="002402BF">
        <w:rPr>
          <w:rFonts w:cs="Times New Roman"/>
          <w:i/>
          <w:iCs/>
          <w:szCs w:val="24"/>
        </w:rPr>
        <w:t>Gross</w:t>
      </w:r>
      <w:r w:rsidRPr="002402BF">
        <w:rPr>
          <w:rFonts w:cs="Times New Roman"/>
          <w:szCs w:val="24"/>
        </w:rPr>
        <w:t xml:space="preserve">, the proper conclusion here, as in </w:t>
      </w:r>
      <w:r w:rsidRPr="002402BF">
        <w:rPr>
          <w:rFonts w:cs="Times New Roman"/>
          <w:i/>
          <w:iCs/>
          <w:szCs w:val="24"/>
        </w:rPr>
        <w:t>Gross</w:t>
      </w:r>
      <w:r w:rsidRPr="002402BF">
        <w:rPr>
          <w:rFonts w:cs="Times New Roman"/>
          <w:szCs w:val="24"/>
        </w:rPr>
        <w:t xml:space="preserve">, is that Title VII retaliation claims require proof that the desire to retaliate was </w:t>
      </w:r>
      <w:r w:rsidRPr="002402BF">
        <w:rPr>
          <w:rFonts w:cs="Times New Roman"/>
          <w:i/>
          <w:iCs/>
          <w:szCs w:val="24"/>
        </w:rPr>
        <w:t xml:space="preserve">the </w:t>
      </w:r>
      <w:r w:rsidRPr="002402BF">
        <w:rPr>
          <w:rFonts w:cs="Times New Roman"/>
          <w:szCs w:val="24"/>
        </w:rPr>
        <w:t>but-for cause of the challenged employment action</w:t>
      </w:r>
    </w:p>
    <w:p w14:paraId="0E1A20F5" w14:textId="77777777" w:rsidR="002402BF" w:rsidRPr="002402BF" w:rsidRDefault="002402BF" w:rsidP="002402BF">
      <w:pPr>
        <w:autoSpaceDE w:val="0"/>
        <w:autoSpaceDN w:val="0"/>
        <w:adjustRightInd w:val="0"/>
        <w:ind w:left="720" w:rightChars="655" w:right="1572"/>
        <w:jc w:val="both"/>
        <w:rPr>
          <w:rFonts w:cs="Times New Roman"/>
          <w:szCs w:val="24"/>
        </w:rPr>
      </w:pPr>
    </w:p>
    <w:p w14:paraId="1B6F0FBA" w14:textId="77777777" w:rsidR="002402BF" w:rsidRPr="002402BF" w:rsidRDefault="002402BF" w:rsidP="002402BF">
      <w:pPr>
        <w:autoSpaceDE w:val="0"/>
        <w:autoSpaceDN w:val="0"/>
        <w:adjustRightInd w:val="0"/>
        <w:rPr>
          <w:rFonts w:cs="Times New Roman"/>
          <w:szCs w:val="24"/>
        </w:rPr>
      </w:pPr>
      <w:r w:rsidRPr="002402BF">
        <w:rPr>
          <w:rFonts w:cs="Times New Roman"/>
          <w:i/>
          <w:iCs/>
          <w:szCs w:val="24"/>
        </w:rPr>
        <w:t>Nassar</w:t>
      </w:r>
      <w:r w:rsidRPr="002402BF">
        <w:rPr>
          <w:rFonts w:cs="Times New Roman"/>
          <w:szCs w:val="24"/>
        </w:rPr>
        <w:t xml:space="preserve">, 570 U.S.at 351-52 (emphasis added); </w:t>
      </w:r>
      <w:r w:rsidRPr="002402BF">
        <w:rPr>
          <w:rFonts w:cs="Times New Roman"/>
          <w:i/>
          <w:iCs/>
          <w:szCs w:val="24"/>
        </w:rPr>
        <w:t>see Gross</w:t>
      </w:r>
      <w:r w:rsidRPr="002402BF">
        <w:rPr>
          <w:rFonts w:cs="Times New Roman"/>
          <w:szCs w:val="24"/>
        </w:rPr>
        <w:t xml:space="preserve">, 557 U.S. at 176 (“To establish a disparate-treatment claim under the plain language of the ADEA, therefore, a plaintiff must prove that age was </w:t>
      </w:r>
      <w:r w:rsidRPr="002402BF">
        <w:rPr>
          <w:rFonts w:cs="Times New Roman"/>
          <w:i/>
          <w:iCs/>
          <w:szCs w:val="24"/>
        </w:rPr>
        <w:t xml:space="preserve">the </w:t>
      </w:r>
      <w:r w:rsidRPr="002402BF">
        <w:rPr>
          <w:rFonts w:cs="Times New Roman"/>
          <w:szCs w:val="24"/>
        </w:rPr>
        <w:t xml:space="preserve">‘but-for’ cause of the employer’s adverse decision.” (emphasis added)). </w:t>
      </w:r>
    </w:p>
    <w:p w14:paraId="0EBB194E" w14:textId="77777777" w:rsidR="002402BF" w:rsidRPr="002402BF" w:rsidRDefault="002402BF" w:rsidP="002402BF">
      <w:pPr>
        <w:autoSpaceDE w:val="0"/>
        <w:autoSpaceDN w:val="0"/>
        <w:adjustRightInd w:val="0"/>
        <w:rPr>
          <w:rFonts w:cs="Times New Roman"/>
          <w:szCs w:val="24"/>
        </w:rPr>
      </w:pPr>
    </w:p>
    <w:p w14:paraId="3AC68ACC" w14:textId="77777777" w:rsidR="002402BF" w:rsidRPr="002402BF" w:rsidRDefault="002402BF" w:rsidP="002402BF">
      <w:pPr>
        <w:widowControl w:val="0"/>
        <w:ind w:firstLine="720"/>
      </w:pPr>
      <w:r w:rsidRPr="002402B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2402BF">
        <w:rPr>
          <w:rFonts w:cs="Times New Roman"/>
          <w:i/>
          <w:iCs/>
          <w:szCs w:val="24"/>
        </w:rPr>
        <w:t xml:space="preserve">the </w:t>
      </w:r>
      <w:r w:rsidRPr="002402BF">
        <w:rPr>
          <w:rFonts w:cs="Times New Roman"/>
          <w:szCs w:val="24"/>
        </w:rPr>
        <w:t xml:space="preserve">but-for cause, or the sole cause, of the challenged employment action. A similar test applied (and continues to apply after </w:t>
      </w:r>
      <w:r w:rsidRPr="002402BF">
        <w:rPr>
          <w:rFonts w:cs="Times New Roman"/>
          <w:i/>
          <w:iCs/>
          <w:szCs w:val="24"/>
        </w:rPr>
        <w:t>Nassar</w:t>
      </w:r>
      <w:r w:rsidRPr="002402B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2402BF">
        <w:rPr>
          <w:rFonts w:cs="Times New Roman"/>
          <w:i/>
          <w:iCs/>
          <w:szCs w:val="24"/>
        </w:rPr>
        <w:t xml:space="preserve">motivating factor </w:t>
      </w:r>
      <w:r w:rsidRPr="002402BF">
        <w:rPr>
          <w:rFonts w:cs="Times New Roman"/>
          <w:szCs w:val="24"/>
        </w:rPr>
        <w:t>for any employment practice, even though other factors also motivated the practice.” 42 U.S.C. § 2000e-2(m) (emphasis added).</w:t>
      </w:r>
      <w:r w:rsidRPr="002402BF">
        <w:rPr>
          <w:rFonts w:cs="Times New Roman"/>
          <w:i/>
          <w:iCs/>
          <w:szCs w:val="24"/>
        </w:rPr>
        <w:t xml:space="preserve"> </w:t>
      </w:r>
      <w:r w:rsidRPr="002402BF">
        <w:rPr>
          <w:i/>
          <w:iCs/>
        </w:rPr>
        <w:t xml:space="preserve">Hittle v. City of </w:t>
      </w:r>
      <w:r w:rsidRPr="002402BF">
        <w:rPr>
          <w:rFonts w:cs="Times New Roman"/>
          <w:i/>
          <w:iCs/>
          <w:szCs w:val="24"/>
        </w:rPr>
        <w:t>Stockton, California</w:t>
      </w:r>
      <w:r w:rsidRPr="002402BF">
        <w:rPr>
          <w:rFonts w:cs="Times New Roman"/>
          <w:szCs w:val="24"/>
        </w:rPr>
        <w:t>, 101 F.4th 1000, 1012 (9th Cir. 2024) (stating that plaintiff need only show race, color, religion, sex, or national origin was a motivating</w:t>
      </w:r>
      <w:r w:rsidRPr="002402BF">
        <w:rPr>
          <w:i/>
          <w:iCs/>
        </w:rPr>
        <w:t xml:space="preserve"> </w:t>
      </w:r>
      <w:r w:rsidRPr="002402B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2402BF">
        <w:rPr>
          <w:i/>
          <w:iCs/>
        </w:rPr>
        <w:t>see also Comcast Corp. v. Nat’l Ass’n of Afr. Am. Owned Media</w:t>
      </w:r>
      <w:r w:rsidRPr="002402BF">
        <w:t xml:space="preserve">, 589 U.S. 327, 337 (2020) (stating that lack of but-for causation is an affirmative defense to stave off damages and reinstatement but not liability); </w:t>
      </w:r>
      <w:r w:rsidRPr="002402BF">
        <w:rPr>
          <w:i/>
          <w:iCs/>
        </w:rPr>
        <w:t>O’Day v. McDonnell Douglas Helicopter Co.</w:t>
      </w:r>
      <w:r w:rsidRPr="002402BF">
        <w:t>, 79 F.3d 756, 760 (9th Cir. 1996).</w:t>
      </w:r>
    </w:p>
    <w:p w14:paraId="6DC77632" w14:textId="77777777" w:rsidR="002402BF" w:rsidRPr="002402BF" w:rsidRDefault="002402BF" w:rsidP="002402BF">
      <w:pPr>
        <w:widowControl w:val="0"/>
        <w:ind w:firstLine="720"/>
      </w:pPr>
    </w:p>
    <w:p w14:paraId="180E3DF3" w14:textId="77777777" w:rsidR="002402BF" w:rsidRPr="002402BF" w:rsidRDefault="002402BF" w:rsidP="002402BF">
      <w:pPr>
        <w:adjustRightInd w:val="0"/>
        <w:ind w:firstLine="720"/>
        <w:rPr>
          <w:rFonts w:cs="Times New Roman"/>
          <w:szCs w:val="24"/>
        </w:rPr>
      </w:pPr>
      <w:r w:rsidRPr="002402BF">
        <w:t xml:space="preserve">In 2002, </w:t>
      </w:r>
      <w:r w:rsidRPr="002402BF">
        <w:rPr>
          <w:rFonts w:cs="Times New Roman"/>
          <w:szCs w:val="24"/>
        </w:rPr>
        <w:t xml:space="preserve">the Ninth Circuit issued its en banc decision in </w:t>
      </w:r>
      <w:r w:rsidRPr="002402BF">
        <w:rPr>
          <w:rFonts w:cs="Times New Roman"/>
          <w:i/>
          <w:iCs/>
          <w:szCs w:val="24"/>
        </w:rPr>
        <w:t>Costa</w:t>
      </w:r>
      <w:r w:rsidRPr="002402B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2402BF">
        <w:rPr>
          <w:rFonts w:cs="Times New Roman"/>
          <w:i/>
          <w:iCs/>
          <w:szCs w:val="24"/>
        </w:rPr>
        <w:t>Costa</w:t>
      </w:r>
      <w:r w:rsidRPr="002402BF">
        <w:rPr>
          <w:rFonts w:cs="Times New Roman"/>
          <w:szCs w:val="24"/>
        </w:rPr>
        <w:t xml:space="preserve">, 299 F.3d at 853-54; </w:t>
      </w:r>
      <w:r w:rsidRPr="002402BF">
        <w:rPr>
          <w:rFonts w:cs="Times New Roman"/>
          <w:i/>
          <w:iCs/>
          <w:szCs w:val="24"/>
        </w:rPr>
        <w:t>see also EEOC v. Abercrombie &amp; Fitch Stores, Inc</w:t>
      </w:r>
      <w:r w:rsidRPr="002402B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756B4866"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lastRenderedPageBreak/>
        <w:t xml:space="preserve">In </w:t>
      </w:r>
      <w:r w:rsidRPr="002402BF">
        <w:rPr>
          <w:rFonts w:cs="Times New Roman"/>
          <w:i/>
          <w:iCs/>
          <w:szCs w:val="24"/>
        </w:rPr>
        <w:t>Costa</w:t>
      </w:r>
      <w:r w:rsidRPr="002402BF">
        <w:rPr>
          <w:rFonts w:cs="Times New Roman"/>
          <w:szCs w:val="24"/>
        </w:rPr>
        <w:t xml:space="preserve">, the Ninth Circuit discussed jury instructions on causation in Title VII disparate treatment cases. In that decision, the Ninth Circuit stated that a district court may provide either a “single motive” or a “mixed motive” instruction. </w:t>
      </w:r>
      <w:r w:rsidRPr="002402BF">
        <w:rPr>
          <w:rFonts w:cs="Times New Roman"/>
          <w:i/>
          <w:iCs/>
          <w:szCs w:val="24"/>
        </w:rPr>
        <w:t xml:space="preserve">Costa </w:t>
      </w:r>
      <w:r w:rsidRPr="002402BF">
        <w:rPr>
          <w:rFonts w:cs="Times New Roman"/>
          <w:szCs w:val="24"/>
        </w:rPr>
        <w:t xml:space="preserve">added that “mixed” and “single” motives are not two “fundamentally different” theories of liability. </w:t>
      </w:r>
      <w:r w:rsidRPr="002402BF">
        <w:rPr>
          <w:rFonts w:cs="Times New Roman"/>
          <w:i/>
          <w:iCs/>
          <w:szCs w:val="24"/>
        </w:rPr>
        <w:t>Costa</w:t>
      </w:r>
      <w:r w:rsidRPr="002402B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2402BF">
        <w:rPr>
          <w:rFonts w:cs="Times New Roman"/>
          <w:i/>
          <w:iCs/>
          <w:szCs w:val="24"/>
        </w:rPr>
        <w:t>Id</w:t>
      </w:r>
      <w:r w:rsidRPr="002402BF">
        <w:rPr>
          <w:rFonts w:cs="Times New Roman"/>
          <w:szCs w:val="24"/>
        </w:rPr>
        <w:t>.</w:t>
      </w:r>
    </w:p>
    <w:p w14:paraId="2FC568F1" w14:textId="77777777" w:rsidR="002402BF" w:rsidRPr="002402BF" w:rsidRDefault="002402BF" w:rsidP="002402BF">
      <w:pPr>
        <w:autoSpaceDE w:val="0"/>
        <w:autoSpaceDN w:val="0"/>
        <w:adjustRightInd w:val="0"/>
        <w:ind w:firstLine="720"/>
        <w:rPr>
          <w:rFonts w:cs="Times New Roman"/>
          <w:szCs w:val="24"/>
        </w:rPr>
      </w:pPr>
    </w:p>
    <w:p w14:paraId="4357B101"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As stated by the Ninth Circuit in </w:t>
      </w:r>
      <w:r w:rsidRPr="002402BF">
        <w:rPr>
          <w:rFonts w:cs="Times New Roman"/>
          <w:i/>
          <w:iCs/>
          <w:szCs w:val="24"/>
        </w:rPr>
        <w:t>Costa</w:t>
      </w:r>
      <w:r w:rsidRPr="002402BF">
        <w:rPr>
          <w:rFonts w:cs="Times New Roman"/>
          <w:szCs w:val="24"/>
        </w:rPr>
        <w:t xml:space="preserve">, “[a]fter hearing both parties’ evidence, the district court must decide what legal conclusions the evidence could reasonably support and instruct the jury accordingly.” </w:t>
      </w:r>
      <w:r w:rsidRPr="002402BF">
        <w:rPr>
          <w:rFonts w:cs="Times New Roman"/>
          <w:i/>
          <w:iCs/>
          <w:szCs w:val="24"/>
        </w:rPr>
        <w:t>Id</w:t>
      </w:r>
      <w:r w:rsidRPr="002402BF">
        <w:rPr>
          <w:rFonts w:cs="Times New Roman"/>
          <w:szCs w:val="24"/>
        </w:rPr>
        <w:t>. at 856.</w:t>
      </w:r>
    </w:p>
    <w:p w14:paraId="162E49D5" w14:textId="77777777" w:rsidR="002402BF" w:rsidRPr="002402BF" w:rsidRDefault="002402BF" w:rsidP="002402BF">
      <w:pPr>
        <w:autoSpaceDE w:val="0"/>
        <w:autoSpaceDN w:val="0"/>
        <w:adjustRightInd w:val="0"/>
        <w:rPr>
          <w:rFonts w:cs="Times New Roman"/>
          <w:szCs w:val="24"/>
        </w:rPr>
      </w:pPr>
    </w:p>
    <w:p w14:paraId="08D33B63"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 xml:space="preserve">If, based on the evidence, the trial court determines that the only reasonable conclusion a jury could reach is that discriminatory animus is the </w:t>
      </w:r>
      <w:r w:rsidRPr="002402BF">
        <w:rPr>
          <w:rFonts w:cs="Times New Roman"/>
          <w:i/>
          <w:iCs/>
          <w:szCs w:val="24"/>
        </w:rPr>
        <w:t xml:space="preserve">sole </w:t>
      </w:r>
      <w:r w:rsidRPr="002402BF">
        <w:rPr>
          <w:rFonts w:cs="Times New Roman"/>
          <w:szCs w:val="24"/>
        </w:rPr>
        <w:t xml:space="preserve">cause for the challenged employment action or that discrimination played </w:t>
      </w:r>
      <w:r w:rsidRPr="002402BF">
        <w:rPr>
          <w:rFonts w:cs="Times New Roman"/>
          <w:i/>
          <w:iCs/>
          <w:szCs w:val="24"/>
        </w:rPr>
        <w:t xml:space="preserve">no </w:t>
      </w:r>
      <w:r w:rsidRPr="002402BF">
        <w:rPr>
          <w:rFonts w:cs="Times New Roman"/>
          <w:szCs w:val="24"/>
        </w:rPr>
        <w:t xml:space="preserve">role at all in the employer’s decisionmaking, then the jury should be instructed to determine whether the challenged action was taken “because of” the prohibited reason. . . . </w:t>
      </w:r>
    </w:p>
    <w:p w14:paraId="2A99F1A0" w14:textId="77777777" w:rsidR="002402BF" w:rsidRPr="002402BF" w:rsidRDefault="002402BF" w:rsidP="002402BF">
      <w:pPr>
        <w:autoSpaceDE w:val="0"/>
        <w:autoSpaceDN w:val="0"/>
        <w:adjustRightInd w:val="0"/>
        <w:ind w:left="720" w:right="720"/>
        <w:jc w:val="both"/>
        <w:rPr>
          <w:rFonts w:cs="Times New Roman"/>
          <w:szCs w:val="24"/>
        </w:rPr>
      </w:pPr>
    </w:p>
    <w:p w14:paraId="6ED7447D" w14:textId="77777777" w:rsidR="002402BF" w:rsidRPr="002402BF" w:rsidRDefault="002402BF" w:rsidP="002402BF">
      <w:pPr>
        <w:autoSpaceDE w:val="0"/>
        <w:autoSpaceDN w:val="0"/>
        <w:adjustRightInd w:val="0"/>
        <w:ind w:left="720" w:right="720"/>
        <w:jc w:val="both"/>
        <w:rPr>
          <w:rFonts w:cs="Times New Roman"/>
          <w:szCs w:val="24"/>
        </w:rPr>
      </w:pPr>
      <w:r w:rsidRPr="002402B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536B668C" w14:textId="77777777" w:rsidR="002402BF" w:rsidRPr="002402BF" w:rsidRDefault="002402BF" w:rsidP="002402BF">
      <w:pPr>
        <w:autoSpaceDE w:val="0"/>
        <w:autoSpaceDN w:val="0"/>
        <w:adjustRightInd w:val="0"/>
        <w:rPr>
          <w:rFonts w:cs="Times New Roman"/>
          <w:szCs w:val="24"/>
        </w:rPr>
      </w:pPr>
    </w:p>
    <w:p w14:paraId="5A49DB81" w14:textId="77777777" w:rsidR="002402BF" w:rsidRPr="002402BF" w:rsidRDefault="002402BF" w:rsidP="002402BF">
      <w:pPr>
        <w:autoSpaceDE w:val="0"/>
        <w:autoSpaceDN w:val="0"/>
        <w:adjustRightInd w:val="0"/>
        <w:rPr>
          <w:rFonts w:cs="Times New Roman"/>
          <w:szCs w:val="24"/>
        </w:rPr>
      </w:pPr>
      <w:r w:rsidRPr="002402BF">
        <w:rPr>
          <w:rFonts w:cs="Times New Roman"/>
          <w:i/>
          <w:iCs/>
          <w:szCs w:val="24"/>
        </w:rPr>
        <w:t>Id</w:t>
      </w:r>
      <w:r w:rsidRPr="002402BF">
        <w:rPr>
          <w:rFonts w:cs="Times New Roman"/>
          <w:szCs w:val="24"/>
        </w:rPr>
        <w:t xml:space="preserve">. at 856-57. After </w:t>
      </w:r>
      <w:r w:rsidRPr="002402BF">
        <w:rPr>
          <w:rFonts w:cs="Times New Roman"/>
          <w:i/>
          <w:iCs/>
          <w:szCs w:val="24"/>
        </w:rPr>
        <w:t>Costa</w:t>
      </w:r>
      <w:r w:rsidRPr="002402B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5E76CB1D" w14:textId="77777777" w:rsidR="002402BF" w:rsidRPr="002402BF" w:rsidRDefault="002402BF" w:rsidP="002402BF">
      <w:pPr>
        <w:widowControl w:val="0"/>
        <w:jc w:val="both"/>
      </w:pPr>
    </w:p>
    <w:p w14:paraId="0E5AFCEB" w14:textId="77777777" w:rsidR="002402BF" w:rsidRPr="002402BF" w:rsidRDefault="002402BF" w:rsidP="002402BF">
      <w:pPr>
        <w:widowControl w:val="0"/>
        <w:ind w:firstLine="720"/>
      </w:pPr>
      <w:r w:rsidRPr="002402BF">
        <w:t xml:space="preserve">The causation analysis, however, significantly changed after </w:t>
      </w:r>
      <w:r w:rsidRPr="002402BF">
        <w:rPr>
          <w:i/>
          <w:iCs/>
        </w:rPr>
        <w:t>Bostock v. Clayton County</w:t>
      </w:r>
      <w:r w:rsidRPr="002402BF">
        <w:t xml:space="preserve">, 590 U.S. 644 (2020). </w:t>
      </w:r>
      <w:r w:rsidRPr="002402BF">
        <w:rPr>
          <w:i/>
        </w:rPr>
        <w:t>Bostock</w:t>
      </w:r>
      <w:r w:rsidRPr="002402B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2402BF">
        <w:rPr>
          <w:i/>
          <w:iCs/>
        </w:rPr>
        <w:t>Id.</w:t>
      </w:r>
      <w:r w:rsidRPr="002402BF">
        <w:t xml:space="preserve"> at 659-60, 681-82. But </w:t>
      </w:r>
      <w:r w:rsidRPr="002402BF">
        <w:rPr>
          <w:i/>
          <w:iCs/>
        </w:rPr>
        <w:t>Bostock</w:t>
      </w:r>
      <w:r w:rsidRPr="002402BF">
        <w:t xml:space="preserve"> also is significant for interpreting “because of” in § 2000e-2(a) to refer to but-for causation, which courts traditionally have recognized can include more than one but-for cause. </w:t>
      </w:r>
      <w:r w:rsidRPr="002402BF">
        <w:rPr>
          <w:i/>
          <w:iCs/>
        </w:rPr>
        <w:t>See id.</w:t>
      </w:r>
      <w:r w:rsidRPr="002402BF">
        <w:t xml:space="preserve"> at 656-57.</w:t>
      </w:r>
    </w:p>
    <w:p w14:paraId="53A56DA1" w14:textId="77777777" w:rsidR="002402BF" w:rsidRPr="002402BF" w:rsidRDefault="002402BF" w:rsidP="002402BF">
      <w:pPr>
        <w:widowControl w:val="0"/>
        <w:ind w:firstLine="720"/>
        <w:jc w:val="both"/>
      </w:pPr>
    </w:p>
    <w:p w14:paraId="0C6BA46A" w14:textId="77777777" w:rsidR="002402BF" w:rsidRPr="002402BF" w:rsidRDefault="002402BF" w:rsidP="002402BF">
      <w:pPr>
        <w:autoSpaceDE w:val="0"/>
        <w:autoSpaceDN w:val="0"/>
        <w:adjustRightInd w:val="0"/>
        <w:ind w:firstLine="720"/>
        <w:rPr>
          <w:rFonts w:cs="Times New Roman"/>
          <w:szCs w:val="24"/>
        </w:rPr>
      </w:pPr>
      <w:r w:rsidRPr="002402BF">
        <w:t xml:space="preserve">As explained in </w:t>
      </w:r>
      <w:r w:rsidRPr="002402BF">
        <w:rPr>
          <w:i/>
          <w:iCs/>
        </w:rPr>
        <w:t>Bostock</w:t>
      </w:r>
      <w:r w:rsidRPr="002402BF">
        <w:t xml:space="preserve">, “the ordinary meaning of ‘because of’ is ‘by reason of’ or ‘on account of.’” </w:t>
      </w:r>
      <w:r w:rsidRPr="002402BF">
        <w:rPr>
          <w:i/>
          <w:iCs/>
        </w:rPr>
        <w:t>Id.</w:t>
      </w:r>
      <w:r w:rsidRPr="002402BF">
        <w:t xml:space="preserve"> at 656 (quoting </w:t>
      </w:r>
      <w:r w:rsidRPr="002402BF">
        <w:rPr>
          <w:i/>
          <w:iCs/>
        </w:rPr>
        <w:t>Nassar</w:t>
      </w:r>
      <w:r w:rsidRPr="002402BF">
        <w:t>, 570 U.S. at 350).</w:t>
      </w:r>
      <w:r w:rsidRPr="002402BF">
        <w:rPr>
          <w:rFonts w:cs="Times New Roman"/>
          <w:szCs w:val="24"/>
        </w:rPr>
        <w:t xml:space="preserve"> “In the language of law, this means that Title VII’s ‘because of’ test incorporates the ‘simple’ and ‘traditional’ standard of but-for </w:t>
      </w:r>
      <w:r w:rsidRPr="002402BF">
        <w:rPr>
          <w:rFonts w:cs="Times New Roman"/>
          <w:szCs w:val="24"/>
        </w:rPr>
        <w:lastRenderedPageBreak/>
        <w:t xml:space="preserve">causation.” </w:t>
      </w:r>
      <w:r w:rsidRPr="002402BF">
        <w:rPr>
          <w:rFonts w:cs="Times New Roman"/>
          <w:i/>
          <w:iCs/>
          <w:szCs w:val="24"/>
        </w:rPr>
        <w:t>Id</w:t>
      </w:r>
      <w:r w:rsidRPr="002402BF">
        <w:rPr>
          <w:rFonts w:cs="Times New Roman"/>
          <w:szCs w:val="24"/>
        </w:rPr>
        <w:t xml:space="preserve">. (citing </w:t>
      </w:r>
      <w:r w:rsidRPr="002402BF">
        <w:rPr>
          <w:rFonts w:cs="Times New Roman"/>
          <w:i/>
          <w:iCs/>
          <w:szCs w:val="24"/>
        </w:rPr>
        <w:t>Nassar</w:t>
      </w:r>
      <w:r w:rsidRPr="002402BF">
        <w:rPr>
          <w:rFonts w:cs="Times New Roman"/>
          <w:szCs w:val="24"/>
        </w:rPr>
        <w:t xml:space="preserve">, 570 U.S. at 346). “That form of causation is established whenever a particular outcome would not have happened ‘but for’ the purported cause.” </w:t>
      </w:r>
      <w:r w:rsidRPr="002402BF">
        <w:rPr>
          <w:rFonts w:cs="Times New Roman"/>
          <w:i/>
          <w:iCs/>
          <w:szCs w:val="24"/>
        </w:rPr>
        <w:t>Id</w:t>
      </w:r>
      <w:r w:rsidRPr="002402BF">
        <w:rPr>
          <w:rFonts w:cs="Times New Roman"/>
          <w:szCs w:val="24"/>
        </w:rPr>
        <w:t xml:space="preserve">. (citing </w:t>
      </w:r>
      <w:r w:rsidRPr="002402BF">
        <w:rPr>
          <w:rFonts w:cs="Times New Roman"/>
          <w:i/>
          <w:iCs/>
          <w:szCs w:val="24"/>
        </w:rPr>
        <w:t>Gross</w:t>
      </w:r>
      <w:r w:rsidRPr="002402BF">
        <w:rPr>
          <w:rFonts w:cs="Times New Roman"/>
          <w:szCs w:val="24"/>
        </w:rPr>
        <w:t xml:space="preserve">, 557 U.S. at 176). “In other words, a but-for test directs us to change one thing at a time and see if the outcome changes. If it does, we have found a but-for cause.” </w:t>
      </w:r>
      <w:r w:rsidRPr="002402BF">
        <w:rPr>
          <w:rFonts w:cs="Times New Roman"/>
          <w:i/>
          <w:iCs/>
          <w:szCs w:val="24"/>
        </w:rPr>
        <w:t>Id</w:t>
      </w:r>
      <w:r w:rsidRPr="002402BF">
        <w:rPr>
          <w:rFonts w:cs="Times New Roman"/>
          <w:szCs w:val="24"/>
        </w:rPr>
        <w:t xml:space="preserve">. “This can be a sweeping standard. Often, events have multiple but-for causes. So, for example, if a car accident occurred </w:t>
      </w:r>
      <w:r w:rsidRPr="002402BF">
        <w:rPr>
          <w:rFonts w:cs="Times New Roman"/>
          <w:i/>
          <w:iCs/>
          <w:szCs w:val="24"/>
        </w:rPr>
        <w:t>both</w:t>
      </w:r>
      <w:r w:rsidRPr="002402BF">
        <w:rPr>
          <w:rFonts w:cs="Times New Roman"/>
          <w:szCs w:val="24"/>
        </w:rPr>
        <w:t xml:space="preserve"> because the defendant ran a red light </w:t>
      </w:r>
      <w:r w:rsidRPr="002402BF">
        <w:rPr>
          <w:rFonts w:cs="Times New Roman"/>
          <w:i/>
          <w:iCs/>
          <w:szCs w:val="24"/>
        </w:rPr>
        <w:t>and</w:t>
      </w:r>
      <w:r w:rsidRPr="002402BF">
        <w:rPr>
          <w:rFonts w:cs="Times New Roman"/>
          <w:szCs w:val="24"/>
        </w:rPr>
        <w:t xml:space="preserve"> because the plaintiff failed to signal his turn at the intersection, we might call each a but-for cause of the collision.” </w:t>
      </w:r>
      <w:r w:rsidRPr="002402BF">
        <w:rPr>
          <w:rFonts w:cs="Times New Roman"/>
          <w:i/>
          <w:iCs/>
          <w:szCs w:val="24"/>
        </w:rPr>
        <w:t>Id</w:t>
      </w:r>
      <w:r w:rsidRPr="002402BF">
        <w:rPr>
          <w:rFonts w:cs="Times New Roman"/>
          <w:szCs w:val="24"/>
        </w:rPr>
        <w:t xml:space="preserve">. “When it comes to Title VII, the adoption of the traditional but-for causation standard means a defendant cannot avoid liability just by citing some </w:t>
      </w:r>
      <w:r w:rsidRPr="002402BF">
        <w:rPr>
          <w:rFonts w:cs="Times New Roman"/>
          <w:i/>
          <w:iCs/>
          <w:szCs w:val="24"/>
        </w:rPr>
        <w:t>other</w:t>
      </w:r>
      <w:r w:rsidRPr="002402BF">
        <w:rPr>
          <w:rFonts w:cs="Times New Roman"/>
          <w:szCs w:val="24"/>
        </w:rPr>
        <w:t xml:space="preserve"> factor that contributed to its challenged employment decision. So long as the plaintiff’s sex was one but-for cause of that decision, that is enough to trigger the law.” </w:t>
      </w:r>
      <w:r w:rsidRPr="002402BF">
        <w:rPr>
          <w:rFonts w:cs="Times New Roman"/>
          <w:i/>
          <w:iCs/>
          <w:szCs w:val="24"/>
        </w:rPr>
        <w:t>Id</w:t>
      </w:r>
      <w:r w:rsidRPr="002402BF">
        <w:rPr>
          <w:rFonts w:cs="Times New Roman"/>
          <w:szCs w:val="24"/>
        </w:rPr>
        <w:t xml:space="preserve">. Further, “the plaintiff’s sex need not be the sole or primary cause of the employer’s adverse action.” </w:t>
      </w:r>
      <w:r w:rsidRPr="002402BF">
        <w:rPr>
          <w:rFonts w:cs="Times New Roman"/>
          <w:i/>
          <w:iCs/>
          <w:szCs w:val="24"/>
        </w:rPr>
        <w:t>Id</w:t>
      </w:r>
      <w:r w:rsidRPr="002402BF">
        <w:rPr>
          <w:rFonts w:cs="Times New Roman"/>
          <w:szCs w:val="24"/>
        </w:rPr>
        <w:t xml:space="preserve">. </w:t>
      </w:r>
      <w:r w:rsidRPr="002402BF">
        <w:t>at 665.</w:t>
      </w:r>
    </w:p>
    <w:p w14:paraId="188F31B4" w14:textId="77777777" w:rsidR="002402BF" w:rsidRPr="002402BF" w:rsidRDefault="002402BF" w:rsidP="002402BF">
      <w:pPr>
        <w:autoSpaceDE w:val="0"/>
        <w:autoSpaceDN w:val="0"/>
        <w:adjustRightInd w:val="0"/>
        <w:rPr>
          <w:rFonts w:cs="Times New Roman"/>
          <w:szCs w:val="24"/>
        </w:rPr>
      </w:pPr>
    </w:p>
    <w:p w14:paraId="48728CE6"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2402BF">
        <w:rPr>
          <w:rFonts w:cs="Times New Roman"/>
          <w:i/>
          <w:iCs/>
          <w:szCs w:val="24"/>
        </w:rPr>
        <w:t>See Miller v. Gammie</w:t>
      </w:r>
      <w:r w:rsidRPr="002402B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2402BF">
        <w:rPr>
          <w:rFonts w:cs="Times New Roman"/>
          <w:i/>
          <w:iCs/>
          <w:szCs w:val="24"/>
        </w:rPr>
        <w:t xml:space="preserve">Costa </w:t>
      </w:r>
      <w:r w:rsidRPr="002402BF">
        <w:rPr>
          <w:rFonts w:cs="Times New Roman"/>
          <w:szCs w:val="24"/>
        </w:rPr>
        <w:t xml:space="preserve">indicates that the phrase “because of” in 42 U.S.C. § 2000e-2(a) requires a trial court to determine “that the only reasonable conclusion a jury could reach is that discriminatory animus is the </w:t>
      </w:r>
      <w:r w:rsidRPr="002402BF">
        <w:rPr>
          <w:rFonts w:cs="Times New Roman"/>
          <w:i/>
          <w:iCs/>
          <w:szCs w:val="24"/>
        </w:rPr>
        <w:t>sole</w:t>
      </w:r>
      <w:r w:rsidRPr="002402BF">
        <w:rPr>
          <w:rFonts w:cs="Times New Roman"/>
          <w:szCs w:val="24"/>
        </w:rPr>
        <w:t xml:space="preserve"> cause for the challenged employment action,” 299 F.3d at 856, it would be inconsistent with </w:t>
      </w:r>
      <w:r w:rsidRPr="002402BF">
        <w:rPr>
          <w:rFonts w:cs="Times New Roman"/>
          <w:i/>
          <w:iCs/>
          <w:szCs w:val="24"/>
        </w:rPr>
        <w:t>Bostock</w:t>
      </w:r>
      <w:r w:rsidRPr="002402BF">
        <w:rPr>
          <w:rFonts w:cs="Times New Roman"/>
          <w:szCs w:val="24"/>
        </w:rPr>
        <w:t xml:space="preserve">. After </w:t>
      </w:r>
      <w:r w:rsidRPr="002402BF">
        <w:rPr>
          <w:rFonts w:cs="Times New Roman"/>
          <w:i/>
          <w:iCs/>
          <w:szCs w:val="24"/>
        </w:rPr>
        <w:t>Bostock</w:t>
      </w:r>
      <w:r w:rsidRPr="002402BF">
        <w:rPr>
          <w:rFonts w:cs="Times New Roman"/>
          <w:szCs w:val="24"/>
        </w:rPr>
        <w:t xml:space="preserve">, the Ninth Circuit Jury Instructions Committee substantially modified its Chapter 10 Introductory Comment and Instructions 10.1, 10.2, and 10.3. Indeed, current Instruction 10.3 now defines “because of” based on </w:t>
      </w:r>
      <w:r w:rsidRPr="002402BF">
        <w:rPr>
          <w:rFonts w:cs="Times New Roman"/>
          <w:i/>
          <w:iCs/>
          <w:szCs w:val="24"/>
        </w:rPr>
        <w:t>Bostock</w:t>
      </w:r>
      <w:r w:rsidRPr="002402BF">
        <w:rPr>
          <w:rFonts w:cs="Times New Roman"/>
          <w:szCs w:val="24"/>
        </w:rPr>
        <w:t xml:space="preserve">. </w:t>
      </w:r>
    </w:p>
    <w:p w14:paraId="6D942A78" w14:textId="77777777" w:rsidR="002402BF" w:rsidRPr="002402BF" w:rsidRDefault="002402BF" w:rsidP="002402BF">
      <w:pPr>
        <w:autoSpaceDE w:val="0"/>
        <w:autoSpaceDN w:val="0"/>
        <w:adjustRightInd w:val="0"/>
        <w:ind w:firstLine="720"/>
        <w:rPr>
          <w:rFonts w:cs="Times New Roman"/>
          <w:szCs w:val="24"/>
        </w:rPr>
      </w:pPr>
    </w:p>
    <w:p w14:paraId="682E3268" w14:textId="77777777" w:rsidR="002402BF" w:rsidRPr="002402BF" w:rsidRDefault="002402BF" w:rsidP="002402BF">
      <w:pPr>
        <w:autoSpaceDE w:val="0"/>
        <w:autoSpaceDN w:val="0"/>
        <w:adjustRightInd w:val="0"/>
        <w:jc w:val="center"/>
        <w:rPr>
          <w:rFonts w:cs="Times New Roman"/>
          <w:i/>
          <w:iCs/>
          <w:szCs w:val="24"/>
        </w:rPr>
      </w:pPr>
      <w:r w:rsidRPr="002402BF">
        <w:rPr>
          <w:rFonts w:cs="Times New Roman"/>
          <w:i/>
          <w:iCs/>
          <w:szCs w:val="24"/>
        </w:rPr>
        <w:t>Organization of Instructions</w:t>
      </w:r>
    </w:p>
    <w:p w14:paraId="4F50A083" w14:textId="77777777" w:rsidR="002402BF" w:rsidRPr="002402BF" w:rsidRDefault="002402BF" w:rsidP="002402BF">
      <w:pPr>
        <w:autoSpaceDE w:val="0"/>
        <w:autoSpaceDN w:val="0"/>
        <w:adjustRightInd w:val="0"/>
        <w:jc w:val="center"/>
        <w:rPr>
          <w:rFonts w:cs="Times New Roman"/>
          <w:szCs w:val="24"/>
        </w:rPr>
      </w:pPr>
    </w:p>
    <w:p w14:paraId="632AAE89"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10.9 pertain to a claim of harassment or hostile work environment. Instruction 10.10 relates to a claim of retaliation. Finally, because there are certain terms and defenses that are common to Title VII employment cases, they are set forth and defined in Instructions 10.11 through 10.19. </w:t>
      </w:r>
    </w:p>
    <w:p w14:paraId="77769BA7" w14:textId="77777777" w:rsidR="002402BF" w:rsidRPr="002402BF" w:rsidRDefault="002402BF" w:rsidP="002402BF">
      <w:pPr>
        <w:autoSpaceDE w:val="0"/>
        <w:autoSpaceDN w:val="0"/>
        <w:adjustRightInd w:val="0"/>
        <w:ind w:firstLine="720"/>
        <w:rPr>
          <w:rFonts w:cs="Times New Roman"/>
          <w:szCs w:val="24"/>
        </w:rPr>
      </w:pPr>
    </w:p>
    <w:p w14:paraId="1C3E465D"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 xml:space="preserve">The Committee recommends that the court first identify the theory under which the plaintiff has asserted a Title VII claim and then refer to the relevant group of instructions. The basic instructions set forth in Instructions 10.1 through 10.8 may be used regardless of a particular plaintiff’s protected status. Thus, depending on whether the claim is based on race, color, religion, sex, or national origin, Instructions 10.1 through 10.8 can be adjusted to reflect the protected trait or characteristic at issue in a particular case. </w:t>
      </w:r>
    </w:p>
    <w:p w14:paraId="1C1E1875" w14:textId="77777777" w:rsidR="002402BF" w:rsidRPr="002402BF" w:rsidRDefault="002402BF" w:rsidP="002402BF">
      <w:pPr>
        <w:autoSpaceDE w:val="0"/>
        <w:autoSpaceDN w:val="0"/>
        <w:adjustRightInd w:val="0"/>
        <w:ind w:firstLine="720"/>
        <w:rPr>
          <w:rFonts w:cs="Times New Roman"/>
          <w:szCs w:val="24"/>
        </w:rPr>
      </w:pPr>
    </w:p>
    <w:p w14:paraId="499CFC99" w14:textId="77777777" w:rsidR="002402BF" w:rsidRPr="002402BF" w:rsidRDefault="002402BF" w:rsidP="002402BF">
      <w:pPr>
        <w:autoSpaceDE w:val="0"/>
        <w:autoSpaceDN w:val="0"/>
        <w:adjustRightInd w:val="0"/>
        <w:ind w:firstLine="720"/>
        <w:rPr>
          <w:sz w:val="23"/>
          <w:szCs w:val="23"/>
        </w:rPr>
      </w:pPr>
      <w:r w:rsidRPr="002402BF">
        <w:rPr>
          <w:rFonts w:cs="Times New Roman"/>
          <w:szCs w:val="24"/>
        </w:rPr>
        <w:t xml:space="preserve">No instructions have been provided for a claim of disparate impact under Title VII, although such an instruction is provided for a disparate impact claim for age discrimination </w:t>
      </w:r>
      <w:r w:rsidRPr="002402BF">
        <w:rPr>
          <w:rFonts w:cs="Times New Roman"/>
          <w:szCs w:val="24"/>
        </w:rPr>
        <w:lastRenderedPageBreak/>
        <w:t xml:space="preserve">under the ADEA. </w:t>
      </w:r>
      <w:r w:rsidRPr="002402BF">
        <w:rPr>
          <w:rFonts w:cs="Times New Roman"/>
          <w:i/>
          <w:iCs/>
          <w:szCs w:val="24"/>
        </w:rPr>
        <w:t xml:space="preserve">See </w:t>
      </w:r>
      <w:r w:rsidRPr="002402BF">
        <w:rPr>
          <w:rFonts w:cs="Times New Roman"/>
          <w:szCs w:val="24"/>
        </w:rPr>
        <w:t xml:space="preserve">Instruction 11.4 (Age Discrimination—Disparate Impact—Elements). </w:t>
      </w:r>
      <w:r w:rsidRPr="002402BF">
        <w:rPr>
          <w:sz w:val="23"/>
          <w:szCs w:val="23"/>
        </w:rPr>
        <w:t xml:space="preserve">In many instances, instructions for a disparate-impact claim under Title VII may be made with minor alterations to the instruction for a disparate impact claim under the ADEA. </w:t>
      </w:r>
      <w:r w:rsidRPr="002402BF">
        <w:rPr>
          <w:i/>
          <w:iCs/>
          <w:sz w:val="23"/>
          <w:szCs w:val="23"/>
        </w:rPr>
        <w:t xml:space="preserve">Compare </w:t>
      </w:r>
      <w:r w:rsidRPr="002402BF">
        <w:rPr>
          <w:sz w:val="23"/>
          <w:szCs w:val="23"/>
        </w:rPr>
        <w:t xml:space="preserve">Instruction 11.4 </w:t>
      </w:r>
      <w:r w:rsidRPr="002402BF">
        <w:rPr>
          <w:i/>
          <w:iCs/>
          <w:sz w:val="23"/>
          <w:szCs w:val="23"/>
        </w:rPr>
        <w:t>with Hemmings v. Tidyman’s Inc.</w:t>
      </w:r>
      <w:r w:rsidRPr="002402B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2402BF">
        <w:rPr>
          <w:i/>
          <w:iCs/>
          <w:sz w:val="23"/>
          <w:szCs w:val="23"/>
        </w:rPr>
        <w:t>see also Ricci v. DeStefano</w:t>
      </w:r>
      <w:r w:rsidRPr="002402BF">
        <w:rPr>
          <w:sz w:val="23"/>
          <w:szCs w:val="23"/>
        </w:rPr>
        <w:t>, 557 U.S. 557 (2009).</w:t>
      </w:r>
    </w:p>
    <w:p w14:paraId="269346FC" w14:textId="77777777" w:rsidR="002402BF" w:rsidRPr="002402BF" w:rsidRDefault="002402BF" w:rsidP="002402BF">
      <w:pPr>
        <w:autoSpaceDE w:val="0"/>
        <w:autoSpaceDN w:val="0"/>
        <w:adjustRightInd w:val="0"/>
        <w:ind w:firstLine="720"/>
        <w:rPr>
          <w:i/>
          <w:iCs/>
          <w:sz w:val="23"/>
          <w:szCs w:val="23"/>
        </w:rPr>
      </w:pPr>
    </w:p>
    <w:p w14:paraId="7B16FD5F" w14:textId="77777777" w:rsidR="002402BF" w:rsidRPr="002402BF" w:rsidRDefault="002402BF" w:rsidP="002402BF">
      <w:pPr>
        <w:autoSpaceDE w:val="0"/>
        <w:autoSpaceDN w:val="0"/>
        <w:adjustRightInd w:val="0"/>
        <w:ind w:firstLine="720"/>
        <w:rPr>
          <w:rFonts w:cs="Times New Roman"/>
          <w:szCs w:val="24"/>
        </w:rPr>
      </w:pPr>
      <w:r w:rsidRPr="002402B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2402BF">
        <w:rPr>
          <w:i/>
          <w:iCs/>
          <w:sz w:val="23"/>
          <w:szCs w:val="23"/>
        </w:rPr>
        <w:t>See Bolden-Hardge v. Off. Cal. State Controller</w:t>
      </w:r>
      <w:r w:rsidRPr="002402BF">
        <w:rPr>
          <w:sz w:val="23"/>
          <w:szCs w:val="23"/>
        </w:rPr>
        <w:t xml:space="preserve">, 63 F.4th 1215, 1227 (9th Cir. 2023). </w:t>
      </w:r>
      <w:r w:rsidRPr="002402BF">
        <w:rPr>
          <w:rFonts w:cs="Times New Roman"/>
          <w:szCs w:val="24"/>
        </w:rPr>
        <w:t xml:space="preserve">For a detailed discussion of a disparate impact claim arising under the Fair Housing Act, see </w:t>
      </w:r>
      <w:r w:rsidRPr="002402BF">
        <w:rPr>
          <w:rFonts w:cs="Times New Roman"/>
          <w:i/>
          <w:iCs/>
          <w:szCs w:val="24"/>
        </w:rPr>
        <w:t>Texas Department of Housing &amp; Community Affairs v. Inclusive Communities Project, Inc</w:t>
      </w:r>
      <w:r w:rsidRPr="002402BF">
        <w:rPr>
          <w:rFonts w:cs="Times New Roman"/>
          <w:szCs w:val="24"/>
        </w:rPr>
        <w:t xml:space="preserve">., </w:t>
      </w:r>
      <w:r w:rsidRPr="002402BF">
        <w:t>576 U.S. 519 (2015) (relying on cases interpreting Title VII and the ADEA).</w:t>
      </w:r>
    </w:p>
    <w:p w14:paraId="3C031ED2" w14:textId="77777777" w:rsidR="002402BF" w:rsidRPr="002402BF" w:rsidRDefault="002402BF" w:rsidP="002402BF">
      <w:pPr>
        <w:autoSpaceDE w:val="0"/>
        <w:autoSpaceDN w:val="0"/>
        <w:adjustRightInd w:val="0"/>
        <w:ind w:firstLine="720"/>
        <w:rPr>
          <w:rFonts w:cs="Times New Roman"/>
          <w:szCs w:val="24"/>
        </w:rPr>
      </w:pPr>
    </w:p>
    <w:p w14:paraId="5EC23B20" w14:textId="77777777" w:rsidR="002402BF" w:rsidRPr="002402BF" w:rsidRDefault="002402BF" w:rsidP="002402BF">
      <w:pPr>
        <w:autoSpaceDE w:val="0"/>
        <w:autoSpaceDN w:val="0"/>
        <w:adjustRightInd w:val="0"/>
        <w:ind w:firstLine="720"/>
        <w:rPr>
          <w:rFonts w:cs="Times New Roman"/>
          <w:szCs w:val="24"/>
        </w:rPr>
      </w:pPr>
      <w:r w:rsidRPr="002402B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10.8 when a claim under § 1983 is based on disparate treatment or harassment by a state or local employer.</w:t>
      </w:r>
    </w:p>
    <w:p w14:paraId="5C63167C" w14:textId="77777777" w:rsidR="002402BF" w:rsidRPr="002402BF" w:rsidRDefault="002402BF" w:rsidP="002402BF">
      <w:pPr>
        <w:autoSpaceDE w:val="0"/>
        <w:autoSpaceDN w:val="0"/>
        <w:adjustRightInd w:val="0"/>
        <w:ind w:firstLine="720"/>
        <w:rPr>
          <w:rFonts w:cs="Times New Roman"/>
          <w:szCs w:val="24"/>
        </w:rPr>
      </w:pPr>
    </w:p>
    <w:p w14:paraId="60628769" w14:textId="77777777" w:rsidR="002402BF" w:rsidRPr="002402BF" w:rsidRDefault="002402BF" w:rsidP="002402BF">
      <w:pPr>
        <w:jc w:val="right"/>
      </w:pPr>
      <w:r w:rsidRPr="002402BF">
        <w:rPr>
          <w:i/>
          <w:iCs/>
          <w:sz w:val="23"/>
          <w:szCs w:val="23"/>
        </w:rPr>
        <w:t xml:space="preserve">                                                                                                       Revised June 2025</w:t>
      </w:r>
    </w:p>
    <w:p w14:paraId="3EF1A45B" w14:textId="77777777" w:rsidR="002402BF" w:rsidRPr="002402BF" w:rsidRDefault="002402BF" w:rsidP="002402BF">
      <w:pPr>
        <w:jc w:val="right"/>
        <w:rPr>
          <w:rFonts w:cs="Times New Roman"/>
          <w:szCs w:val="24"/>
        </w:rPr>
      </w:pPr>
    </w:p>
    <w:p w14:paraId="573B0F66" w14:textId="77777777" w:rsidR="002402BF" w:rsidRPr="002402BF" w:rsidRDefault="002402BF" w:rsidP="002402BF">
      <w:pPr>
        <w:rPr>
          <w:rFonts w:cs="Times New Roman"/>
          <w:szCs w:val="24"/>
        </w:rPr>
      </w:pPr>
    </w:p>
    <w:p w14:paraId="51762C24" w14:textId="717A8491" w:rsidR="00C30C2C" w:rsidRPr="00AC059F" w:rsidRDefault="00C30C2C" w:rsidP="005F1FA5">
      <w:pPr>
        <w:jc w:val="right"/>
      </w:pPr>
    </w:p>
    <w:sectPr w:rsidR="00C30C2C" w:rsidRPr="00AC0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A5"/>
    <w:rsid w:val="000562A8"/>
    <w:rsid w:val="001F1832"/>
    <w:rsid w:val="00235FFF"/>
    <w:rsid w:val="002402BF"/>
    <w:rsid w:val="0033712E"/>
    <w:rsid w:val="003D2312"/>
    <w:rsid w:val="005F1FA5"/>
    <w:rsid w:val="00681742"/>
    <w:rsid w:val="00695F6A"/>
    <w:rsid w:val="006E771A"/>
    <w:rsid w:val="00AC059F"/>
    <w:rsid w:val="00BC67C9"/>
    <w:rsid w:val="00C30C2C"/>
    <w:rsid w:val="00D56588"/>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8FA"/>
  <w15:chartTrackingRefBased/>
  <w15:docId w15:val="{AF129253-46CF-422C-8498-8336F3D2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A5"/>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F1FA5"/>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5F1FA5"/>
    <w:rPr>
      <w:b/>
      <w:bCs/>
      <w:kern w:val="0"/>
      <w:sz w:val="24"/>
      <w:szCs w:val="24"/>
      <w14:ligatures w14:val="none"/>
    </w:rPr>
  </w:style>
  <w:style w:type="paragraph" w:customStyle="1" w:styleId="Default">
    <w:name w:val="Default"/>
    <w:rsid w:val="005F1FA5"/>
    <w:pPr>
      <w:autoSpaceDE w:val="0"/>
      <w:autoSpaceDN w:val="0"/>
      <w:adjustRightInd w:val="0"/>
    </w:pPr>
    <w:rPr>
      <w:color w:val="000000"/>
      <w:kern w:val="0"/>
      <w:sz w:val="24"/>
      <w:szCs w:val="24"/>
      <w14:ligatures w14:val="none"/>
    </w:rPr>
  </w:style>
  <w:style w:type="paragraph" w:styleId="Revision">
    <w:name w:val="Revision"/>
    <w:hidden/>
    <w:uiPriority w:val="99"/>
    <w:semiHidden/>
    <w:rsid w:val="00681742"/>
    <w:rPr>
      <w:rFonts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3324</Words>
  <Characters>18949</Characters>
  <Application>Microsoft Office Word</Application>
  <DocSecurity>0</DocSecurity>
  <Lines>157</Lines>
  <Paragraphs>44</Paragraphs>
  <ScaleCrop>false</ScaleCrop>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5</cp:revision>
  <dcterms:created xsi:type="dcterms:W3CDTF">2024-08-07T18:54:00Z</dcterms:created>
  <dcterms:modified xsi:type="dcterms:W3CDTF">2026-03-26T20:17:00Z</dcterms:modified>
</cp:coreProperties>
</file>