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51DF" w14:textId="55743B39" w:rsidR="00F06182" w:rsidRPr="00F06182" w:rsidRDefault="00F06182" w:rsidP="00F0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182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F06182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F06182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F06182">
        <w:rPr>
          <w:rFonts w:ascii="Times New Roman" w:hAnsi="Times New Roman" w:cs="Times New Roman"/>
          <w:b/>
          <w:bCs/>
          <w:sz w:val="24"/>
          <w:szCs w:val="24"/>
        </w:rPr>
        <w:t>10.10 Civil Rights—Title VII</w:t>
      </w:r>
      <w:proofErr w:type="gramStart"/>
      <w:r w:rsidRPr="00F06182">
        <w:rPr>
          <w:rFonts w:ascii="Times New Roman" w:hAnsi="Times New Roman" w:cs="Times New Roman"/>
          <w:b/>
          <w:bCs/>
          <w:sz w:val="24"/>
          <w:szCs w:val="24"/>
        </w:rPr>
        <w:t>—“</w:t>
      </w:r>
      <w:proofErr w:type="gramEnd"/>
      <w:r w:rsidRPr="00F06182">
        <w:rPr>
          <w:rFonts w:ascii="Times New Roman" w:hAnsi="Times New Roman" w:cs="Times New Roman"/>
          <w:b/>
          <w:bCs/>
          <w:sz w:val="24"/>
          <w:szCs w:val="24"/>
        </w:rPr>
        <w:t>Adverse Employment Action” In Retaliation Cases</w:t>
      </w:r>
    </w:p>
    <w:p w14:paraId="61489E4B" w14:textId="77777777" w:rsidR="00F06182" w:rsidRPr="00F06182" w:rsidRDefault="00F06182" w:rsidP="00F06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D8B9F" w14:textId="77777777" w:rsidR="00F06182" w:rsidRPr="00F06182" w:rsidRDefault="00F06182" w:rsidP="00F06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182">
        <w:rPr>
          <w:rFonts w:ascii="Times New Roman" w:hAnsi="Times New Roman" w:cs="Times New Roman"/>
          <w:sz w:val="24"/>
          <w:szCs w:val="24"/>
        </w:rPr>
        <w:tab/>
        <w:t xml:space="preserve">An action is an adverse employment action if a reasonable employee would have found the action materially adverse, which means it might have dissuaded a reasonable worker from making or supporting a charge of discrimination. </w:t>
      </w:r>
    </w:p>
    <w:p w14:paraId="69122D93" w14:textId="77777777" w:rsidR="00F06182" w:rsidRPr="00F06182" w:rsidRDefault="00F06182" w:rsidP="00F06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B3FEF" w14:textId="77777777" w:rsidR="00F06182" w:rsidRPr="00F06182" w:rsidRDefault="00F06182" w:rsidP="00F0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6182">
        <w:rPr>
          <w:rFonts w:ascii="Times New Roman" w:hAnsi="Times New Roman" w:cs="Times New Roman"/>
          <w:b/>
          <w:bCs/>
          <w:sz w:val="24"/>
          <w:szCs w:val="24"/>
        </w:rPr>
        <w:t>Comment</w:t>
      </w:r>
    </w:p>
    <w:p w14:paraId="2280A45E" w14:textId="77777777" w:rsidR="00F06182" w:rsidRPr="00F06182" w:rsidRDefault="00F06182" w:rsidP="00F06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E7D65" w14:textId="77777777" w:rsidR="00F06182" w:rsidRPr="00F06182" w:rsidRDefault="00F06182" w:rsidP="00F06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182">
        <w:rPr>
          <w:rFonts w:ascii="Times New Roman" w:hAnsi="Times New Roman" w:cs="Times New Roman"/>
          <w:sz w:val="24"/>
          <w:szCs w:val="24"/>
        </w:rPr>
        <w:tab/>
        <w:t xml:space="preserve">In </w:t>
      </w:r>
      <w:r w:rsidRPr="00F06182">
        <w:rPr>
          <w:rFonts w:ascii="Times New Roman" w:hAnsi="Times New Roman" w:cs="Times New Roman"/>
          <w:i/>
          <w:iCs/>
          <w:sz w:val="24"/>
          <w:szCs w:val="24"/>
        </w:rPr>
        <w:t>Burlington Northern and Santa Fe Railway Co. v. White</w:t>
      </w:r>
      <w:r w:rsidRPr="00F06182">
        <w:rPr>
          <w:rFonts w:ascii="Times New Roman" w:hAnsi="Times New Roman" w:cs="Times New Roman"/>
          <w:sz w:val="24"/>
          <w:szCs w:val="24"/>
        </w:rPr>
        <w:t>, 548 U.S. 53, 68 (2006), the Supreme Court settled the definition of what is an adverse employment action in the retaliation context.  This definition introduces the objective standard of a “reasonable employee” but includes the concept of “materially adverse.”</w:t>
      </w:r>
    </w:p>
    <w:p w14:paraId="5E8D5DF6" w14:textId="77777777" w:rsidR="00F06182" w:rsidRPr="00F06182" w:rsidRDefault="00F06182" w:rsidP="00F06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182">
        <w:rPr>
          <w:rFonts w:ascii="Times New Roman" w:hAnsi="Times New Roman" w:cs="Times New Roman"/>
          <w:sz w:val="24"/>
          <w:szCs w:val="24"/>
        </w:rPr>
        <w:tab/>
      </w:r>
    </w:p>
    <w:p w14:paraId="705A9123" w14:textId="77777777" w:rsidR="00F06182" w:rsidRPr="00F06182" w:rsidRDefault="00F06182" w:rsidP="00F06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182">
        <w:rPr>
          <w:rFonts w:ascii="Times New Roman" w:hAnsi="Times New Roman" w:cs="Times New Roman"/>
          <w:sz w:val="24"/>
          <w:szCs w:val="24"/>
        </w:rPr>
        <w:tab/>
        <w:t xml:space="preserve">Actions such as firing and demoting are adverse employment actions for purposes of a retaliation claim.  In addition, other actions that do not rise to the level of ultimate employment actions, such as a lateral transfer, an unfavorable reference that had no effect on a prospective employer’s hiring decision, and the imposition of a more burdensome work schedule, may also be considered adverse employment actions in this context.  These actions may dissuade a reasonable worker from making or supporting a charge of discrimination.  </w:t>
      </w:r>
      <w:r w:rsidRPr="00F06182">
        <w:rPr>
          <w:rFonts w:ascii="Times New Roman" w:hAnsi="Times New Roman" w:cs="Times New Roman"/>
          <w:i/>
          <w:iCs/>
          <w:sz w:val="24"/>
          <w:szCs w:val="24"/>
        </w:rPr>
        <w:t>See</w:t>
      </w:r>
      <w:r w:rsidRPr="00F06182">
        <w:rPr>
          <w:rFonts w:ascii="Times New Roman" w:hAnsi="Times New Roman" w:cs="Times New Roman"/>
          <w:sz w:val="24"/>
          <w:szCs w:val="24"/>
        </w:rPr>
        <w:t xml:space="preserve"> </w:t>
      </w:r>
      <w:r w:rsidRPr="00F06182">
        <w:rPr>
          <w:rFonts w:ascii="Times New Roman" w:hAnsi="Times New Roman" w:cs="Times New Roman"/>
          <w:i/>
          <w:iCs/>
          <w:sz w:val="24"/>
          <w:szCs w:val="24"/>
        </w:rPr>
        <w:t>White</w:t>
      </w:r>
      <w:r w:rsidRPr="00F06182">
        <w:rPr>
          <w:rFonts w:ascii="Times New Roman" w:hAnsi="Times New Roman" w:cs="Times New Roman"/>
          <w:sz w:val="24"/>
          <w:szCs w:val="24"/>
        </w:rPr>
        <w:t xml:space="preserve">, 548 U.S. at 68; </w:t>
      </w:r>
      <w:r w:rsidRPr="00F06182">
        <w:rPr>
          <w:rFonts w:ascii="Times New Roman" w:hAnsi="Times New Roman" w:cs="Times New Roman"/>
          <w:i/>
          <w:iCs/>
          <w:sz w:val="24"/>
          <w:szCs w:val="24"/>
        </w:rPr>
        <w:t>Ray v. Henderson</w:t>
      </w:r>
      <w:r w:rsidRPr="00F06182">
        <w:rPr>
          <w:rFonts w:ascii="Times New Roman" w:hAnsi="Times New Roman" w:cs="Times New Roman"/>
          <w:sz w:val="24"/>
          <w:szCs w:val="24"/>
        </w:rPr>
        <w:t>, 217 F.3d 1234, 1242-43 (9th Cir. 2000)</w:t>
      </w:r>
      <w:r w:rsidRPr="00F0618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D7EE5B2" w14:textId="77777777" w:rsidR="00F06182" w:rsidRPr="00F06182" w:rsidRDefault="00F06182" w:rsidP="00F06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3ED2C6" w14:textId="131F64F2" w:rsidR="00F06182" w:rsidRPr="00F06182" w:rsidRDefault="00F06182" w:rsidP="00F06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182">
        <w:rPr>
          <w:rFonts w:ascii="Times New Roman" w:hAnsi="Times New Roman" w:cs="Times New Roman"/>
          <w:sz w:val="24"/>
          <w:szCs w:val="24"/>
        </w:rPr>
        <w:tab/>
        <w:t>Adverse employment actions take many forms.</w:t>
      </w:r>
      <w:r w:rsidRPr="00F06182">
        <w:rPr>
          <w:rFonts w:ascii="Times New Roman" w:hAnsi="Times New Roman" w:cs="Times New Roman"/>
          <w:i/>
          <w:iCs/>
          <w:sz w:val="24"/>
          <w:szCs w:val="24"/>
        </w:rPr>
        <w:t xml:space="preserve">  See, e.g.</w:t>
      </w:r>
      <w:r w:rsidRPr="00F06182">
        <w:rPr>
          <w:rFonts w:ascii="Times New Roman" w:hAnsi="Times New Roman" w:cs="Times New Roman"/>
          <w:sz w:val="24"/>
          <w:szCs w:val="24"/>
        </w:rPr>
        <w:t xml:space="preserve">, </w:t>
      </w:r>
      <w:r w:rsidR="009A75C0" w:rsidRPr="009A75C0">
        <w:rPr>
          <w:rFonts w:ascii="Times New Roman" w:hAnsi="Times New Roman" w:cs="Times New Roman"/>
          <w:i/>
          <w:iCs/>
          <w:sz w:val="24"/>
          <w:szCs w:val="24"/>
        </w:rPr>
        <w:t>Dodge v. Evergreen School District</w:t>
      </w:r>
      <w:r w:rsidR="009A75C0" w:rsidRPr="009A75C0">
        <w:rPr>
          <w:rFonts w:ascii="Times New Roman" w:hAnsi="Times New Roman" w:cs="Times New Roman"/>
          <w:sz w:val="24"/>
          <w:szCs w:val="24"/>
        </w:rPr>
        <w:t xml:space="preserve">, 56 F.4th 767, </w:t>
      </w:r>
      <w:r w:rsidR="00467FA6">
        <w:rPr>
          <w:rFonts w:ascii="Times New Roman" w:hAnsi="Times New Roman" w:cs="Times New Roman"/>
          <w:sz w:val="24"/>
          <w:szCs w:val="24"/>
        </w:rPr>
        <w:t>774</w:t>
      </w:r>
      <w:r w:rsidR="009A75C0" w:rsidRPr="009A75C0">
        <w:rPr>
          <w:rFonts w:ascii="Times New Roman" w:hAnsi="Times New Roman" w:cs="Times New Roman"/>
          <w:sz w:val="24"/>
          <w:szCs w:val="24"/>
        </w:rPr>
        <w:t xml:space="preserve"> (9th Cir. 2022) (in action brought under 42 U.S.C. § 1983, </w:t>
      </w:r>
      <w:r w:rsidR="00467FA6">
        <w:rPr>
          <w:rFonts w:ascii="Times New Roman" w:hAnsi="Times New Roman" w:cs="Times New Roman"/>
          <w:sz w:val="24"/>
          <w:szCs w:val="24"/>
        </w:rPr>
        <w:t xml:space="preserve">concluding </w:t>
      </w:r>
      <w:r w:rsidR="009A75C0" w:rsidRPr="009A75C0">
        <w:rPr>
          <w:rFonts w:ascii="Times New Roman" w:hAnsi="Times New Roman" w:cs="Times New Roman"/>
          <w:sz w:val="24"/>
          <w:szCs w:val="24"/>
        </w:rPr>
        <w:t xml:space="preserve">statement that employee would “need </w:t>
      </w:r>
      <w:r w:rsidR="00467FA6">
        <w:rPr>
          <w:rFonts w:ascii="Times New Roman" w:hAnsi="Times New Roman" w:cs="Times New Roman"/>
          <w:sz w:val="24"/>
          <w:szCs w:val="24"/>
        </w:rPr>
        <w:t>to have [your]</w:t>
      </w:r>
      <w:r w:rsidR="009A75C0" w:rsidRPr="009A75C0">
        <w:rPr>
          <w:rFonts w:ascii="Times New Roman" w:hAnsi="Times New Roman" w:cs="Times New Roman"/>
          <w:sz w:val="24"/>
          <w:szCs w:val="24"/>
        </w:rPr>
        <w:t xml:space="preserve"> union rep” if he persisted in engaging in speech on matter of public concern made as private citizen);</w:t>
      </w:r>
      <w:r w:rsidR="009A75C0">
        <w:rPr>
          <w:rFonts w:ascii="Times New Roman" w:hAnsi="Times New Roman" w:cs="Times New Roman"/>
          <w:sz w:val="24"/>
          <w:szCs w:val="24"/>
        </w:rPr>
        <w:t xml:space="preserve"> </w:t>
      </w:r>
      <w:r w:rsidRPr="00F06182">
        <w:rPr>
          <w:rFonts w:ascii="Times New Roman" w:hAnsi="Times New Roman" w:cs="Times New Roman"/>
          <w:i/>
          <w:iCs/>
          <w:sz w:val="24"/>
          <w:szCs w:val="24"/>
        </w:rPr>
        <w:t>Dahlia v. Rodriguez</w:t>
      </w:r>
      <w:r w:rsidRPr="00F06182">
        <w:rPr>
          <w:rFonts w:ascii="Times New Roman" w:hAnsi="Times New Roman" w:cs="Times New Roman"/>
          <w:sz w:val="24"/>
          <w:szCs w:val="24"/>
        </w:rPr>
        <w:t>, 735 F.3d 1060, 1078 (9th Cir. 2013)</w:t>
      </w:r>
      <w:r w:rsidRPr="00F061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618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0618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F06182">
        <w:rPr>
          <w:rFonts w:ascii="Times New Roman" w:hAnsi="Times New Roman" w:cs="Times New Roman"/>
          <w:sz w:val="24"/>
          <w:szCs w:val="24"/>
        </w:rPr>
        <w:t xml:space="preserve"> banc) (</w:t>
      </w:r>
      <w:r w:rsidR="00467FA6">
        <w:rPr>
          <w:rFonts w:ascii="Times New Roman" w:hAnsi="Times New Roman" w:cs="Times New Roman"/>
          <w:sz w:val="24"/>
          <w:szCs w:val="24"/>
        </w:rPr>
        <w:t>considering</w:t>
      </w:r>
      <w:r w:rsidR="00467FA6" w:rsidRPr="00F06182">
        <w:rPr>
          <w:rFonts w:ascii="Times New Roman" w:hAnsi="Times New Roman" w:cs="Times New Roman"/>
          <w:sz w:val="24"/>
          <w:szCs w:val="24"/>
        </w:rPr>
        <w:t xml:space="preserve"> </w:t>
      </w:r>
      <w:r w:rsidRPr="00F06182">
        <w:rPr>
          <w:rFonts w:ascii="Times New Roman" w:hAnsi="Times New Roman" w:cs="Times New Roman"/>
          <w:sz w:val="24"/>
          <w:szCs w:val="24"/>
        </w:rPr>
        <w:t xml:space="preserve">employee’s placement on administrative leave, deprivation of ability to take promotional exam, and loss of pay and opportunities for investigative or other job experience); </w:t>
      </w:r>
      <w:r w:rsidRPr="00F06182">
        <w:rPr>
          <w:rFonts w:ascii="Times New Roman" w:hAnsi="Times New Roman" w:cs="Times New Roman"/>
          <w:i/>
          <w:iCs/>
          <w:sz w:val="24"/>
          <w:szCs w:val="24"/>
        </w:rPr>
        <w:t xml:space="preserve">Manatt v. Bank of Am., NA, </w:t>
      </w:r>
      <w:r w:rsidRPr="00F06182">
        <w:rPr>
          <w:rFonts w:ascii="Times New Roman" w:hAnsi="Times New Roman" w:cs="Times New Roman"/>
          <w:sz w:val="24"/>
          <w:szCs w:val="24"/>
        </w:rPr>
        <w:t>339 F.3d 792, 802 (9th Cir.</w:t>
      </w:r>
      <w:r w:rsidR="00AF0BA2">
        <w:rPr>
          <w:rFonts w:ascii="Times New Roman" w:hAnsi="Times New Roman" w:cs="Times New Roman"/>
          <w:sz w:val="24"/>
          <w:szCs w:val="24"/>
        </w:rPr>
        <w:t xml:space="preserve"> </w:t>
      </w:r>
      <w:r w:rsidRPr="00F06182">
        <w:rPr>
          <w:rFonts w:ascii="Times New Roman" w:hAnsi="Times New Roman" w:cs="Times New Roman"/>
          <w:sz w:val="24"/>
          <w:szCs w:val="24"/>
        </w:rPr>
        <w:t xml:space="preserve"> 2003) (</w:t>
      </w:r>
      <w:r w:rsidR="00467FA6">
        <w:rPr>
          <w:rFonts w:ascii="Times New Roman" w:hAnsi="Times New Roman" w:cs="Times New Roman"/>
          <w:sz w:val="24"/>
          <w:szCs w:val="24"/>
        </w:rPr>
        <w:t>discussing</w:t>
      </w:r>
      <w:r w:rsidR="00467FA6" w:rsidRPr="00F06182">
        <w:rPr>
          <w:rFonts w:ascii="Times New Roman" w:hAnsi="Times New Roman" w:cs="Times New Roman"/>
          <w:sz w:val="24"/>
          <w:szCs w:val="24"/>
        </w:rPr>
        <w:t xml:space="preserve"> </w:t>
      </w:r>
      <w:r w:rsidRPr="00F06182">
        <w:rPr>
          <w:rFonts w:ascii="Times New Roman" w:hAnsi="Times New Roman" w:cs="Times New Roman"/>
          <w:sz w:val="24"/>
          <w:szCs w:val="24"/>
        </w:rPr>
        <w:t xml:space="preserve">denial of transfer); </w:t>
      </w:r>
      <w:r w:rsidRPr="00F06182">
        <w:rPr>
          <w:rFonts w:ascii="Times New Roman" w:hAnsi="Times New Roman" w:cs="Times New Roman"/>
          <w:i/>
          <w:iCs/>
          <w:sz w:val="24"/>
          <w:szCs w:val="24"/>
        </w:rPr>
        <w:t xml:space="preserve">Little v. Windermere Relocation, Inc., </w:t>
      </w:r>
      <w:r w:rsidRPr="00F06182">
        <w:rPr>
          <w:rFonts w:ascii="Times New Roman" w:hAnsi="Times New Roman" w:cs="Times New Roman"/>
          <w:sz w:val="24"/>
          <w:szCs w:val="24"/>
        </w:rPr>
        <w:t>301 F.3d 958, 970 (9th Cir. 2002) (</w:t>
      </w:r>
      <w:r w:rsidR="00467FA6">
        <w:rPr>
          <w:rFonts w:ascii="Times New Roman" w:hAnsi="Times New Roman" w:cs="Times New Roman"/>
          <w:sz w:val="24"/>
          <w:szCs w:val="24"/>
        </w:rPr>
        <w:t>considering</w:t>
      </w:r>
      <w:r w:rsidR="00467FA6" w:rsidRPr="00F06182">
        <w:rPr>
          <w:rFonts w:ascii="Times New Roman" w:hAnsi="Times New Roman" w:cs="Times New Roman"/>
          <w:sz w:val="24"/>
          <w:szCs w:val="24"/>
        </w:rPr>
        <w:t xml:space="preserve"> </w:t>
      </w:r>
      <w:r w:rsidRPr="00F06182">
        <w:rPr>
          <w:rFonts w:ascii="Times New Roman" w:hAnsi="Times New Roman" w:cs="Times New Roman"/>
          <w:sz w:val="24"/>
          <w:szCs w:val="24"/>
        </w:rPr>
        <w:t xml:space="preserve">cut in monthly base salary); </w:t>
      </w:r>
      <w:proofErr w:type="spellStart"/>
      <w:r w:rsidRPr="00F06182">
        <w:rPr>
          <w:rFonts w:ascii="Times New Roman" w:hAnsi="Times New Roman" w:cs="Times New Roman"/>
          <w:i/>
          <w:iCs/>
          <w:sz w:val="24"/>
          <w:szCs w:val="24"/>
        </w:rPr>
        <w:t>Passantino</w:t>
      </w:r>
      <w:proofErr w:type="spellEnd"/>
      <w:r w:rsidRPr="00F06182">
        <w:rPr>
          <w:rFonts w:ascii="Times New Roman" w:hAnsi="Times New Roman" w:cs="Times New Roman"/>
          <w:i/>
          <w:iCs/>
          <w:sz w:val="24"/>
          <w:szCs w:val="24"/>
        </w:rPr>
        <w:t xml:space="preserve"> v. Johnson &amp; Johnson Consumer Prods., Inc.</w:t>
      </w:r>
      <w:r w:rsidRPr="00F06182">
        <w:rPr>
          <w:rFonts w:ascii="Times New Roman" w:hAnsi="Times New Roman" w:cs="Times New Roman"/>
          <w:sz w:val="24"/>
          <w:szCs w:val="24"/>
        </w:rPr>
        <w:t>, 212 F.3d 493, 500-01, 506 (9th Cir. 2000) (</w:t>
      </w:r>
      <w:r w:rsidR="00467FA6">
        <w:rPr>
          <w:rFonts w:ascii="Times New Roman" w:hAnsi="Times New Roman" w:cs="Times New Roman"/>
          <w:sz w:val="24"/>
          <w:szCs w:val="24"/>
        </w:rPr>
        <w:t>considering</w:t>
      </w:r>
      <w:r w:rsidR="00467FA6" w:rsidRPr="00F06182">
        <w:rPr>
          <w:rFonts w:ascii="Times New Roman" w:hAnsi="Times New Roman" w:cs="Times New Roman"/>
          <w:sz w:val="24"/>
          <w:szCs w:val="24"/>
        </w:rPr>
        <w:t xml:space="preserve"> </w:t>
      </w:r>
      <w:r w:rsidRPr="00F06182">
        <w:rPr>
          <w:rFonts w:ascii="Times New Roman" w:hAnsi="Times New Roman" w:cs="Times New Roman"/>
          <w:sz w:val="24"/>
          <w:szCs w:val="24"/>
        </w:rPr>
        <w:t xml:space="preserve">low rating on job performance review, decreased job responsibilities, and failure to receive promotions); </w:t>
      </w:r>
      <w:r w:rsidRPr="00F06182">
        <w:rPr>
          <w:rFonts w:ascii="Times New Roman" w:hAnsi="Times New Roman" w:cs="Times New Roman"/>
          <w:i/>
          <w:iCs/>
          <w:sz w:val="24"/>
          <w:szCs w:val="24"/>
        </w:rPr>
        <w:t>Hashimoto v. Dalton</w:t>
      </w:r>
      <w:r w:rsidRPr="00F06182">
        <w:rPr>
          <w:rFonts w:ascii="Times New Roman" w:hAnsi="Times New Roman" w:cs="Times New Roman"/>
          <w:sz w:val="24"/>
          <w:szCs w:val="24"/>
        </w:rPr>
        <w:t>, 118 F.3d 671, 674 (9th Cir. 1997) (</w:t>
      </w:r>
      <w:r w:rsidR="00467FA6">
        <w:rPr>
          <w:rFonts w:ascii="Times New Roman" w:hAnsi="Times New Roman" w:cs="Times New Roman"/>
          <w:sz w:val="24"/>
          <w:szCs w:val="24"/>
        </w:rPr>
        <w:t>considering</w:t>
      </w:r>
      <w:r w:rsidR="00467FA6" w:rsidRPr="00F06182">
        <w:rPr>
          <w:rFonts w:ascii="Times New Roman" w:hAnsi="Times New Roman" w:cs="Times New Roman"/>
          <w:sz w:val="24"/>
          <w:szCs w:val="24"/>
        </w:rPr>
        <w:t xml:space="preserve"> </w:t>
      </w:r>
      <w:r w:rsidRPr="00F06182">
        <w:rPr>
          <w:rFonts w:ascii="Times New Roman" w:hAnsi="Times New Roman" w:cs="Times New Roman"/>
          <w:sz w:val="24"/>
          <w:szCs w:val="24"/>
        </w:rPr>
        <w:t xml:space="preserve">negative job reference); </w:t>
      </w:r>
      <w:r w:rsidRPr="00F06182">
        <w:rPr>
          <w:rFonts w:ascii="Times New Roman" w:hAnsi="Times New Roman" w:cs="Times New Roman"/>
          <w:i/>
          <w:iCs/>
          <w:sz w:val="24"/>
          <w:szCs w:val="24"/>
        </w:rPr>
        <w:t>Miller v. Fairchild Indus., Inc.</w:t>
      </w:r>
      <w:r w:rsidRPr="00F06182">
        <w:rPr>
          <w:rFonts w:ascii="Times New Roman" w:hAnsi="Times New Roman" w:cs="Times New Roman"/>
          <w:sz w:val="24"/>
          <w:szCs w:val="24"/>
        </w:rPr>
        <w:t>, 885 F.2d 498, 505 (9th Cir. 1989) (</w:t>
      </w:r>
      <w:r w:rsidR="00467FA6">
        <w:rPr>
          <w:rFonts w:ascii="Times New Roman" w:hAnsi="Times New Roman" w:cs="Times New Roman"/>
          <w:sz w:val="24"/>
          <w:szCs w:val="24"/>
        </w:rPr>
        <w:t>discussing</w:t>
      </w:r>
      <w:r w:rsidR="00467FA6" w:rsidRPr="00F06182">
        <w:rPr>
          <w:rFonts w:ascii="Times New Roman" w:hAnsi="Times New Roman" w:cs="Times New Roman"/>
          <w:sz w:val="24"/>
          <w:szCs w:val="24"/>
        </w:rPr>
        <w:t xml:space="preserve"> </w:t>
      </w:r>
      <w:r w:rsidRPr="00F06182">
        <w:rPr>
          <w:rFonts w:ascii="Times New Roman" w:hAnsi="Times New Roman" w:cs="Times New Roman"/>
          <w:sz w:val="24"/>
          <w:szCs w:val="24"/>
        </w:rPr>
        <w:t xml:space="preserve">layoff); </w:t>
      </w:r>
      <w:proofErr w:type="spellStart"/>
      <w:r w:rsidRPr="00F06182">
        <w:rPr>
          <w:rFonts w:ascii="Times New Roman" w:hAnsi="Times New Roman" w:cs="Times New Roman"/>
          <w:i/>
          <w:iCs/>
          <w:sz w:val="24"/>
          <w:szCs w:val="24"/>
        </w:rPr>
        <w:t>Yartzoff</w:t>
      </w:r>
      <w:proofErr w:type="spellEnd"/>
      <w:r w:rsidRPr="00F06182">
        <w:rPr>
          <w:rFonts w:ascii="Times New Roman" w:hAnsi="Times New Roman" w:cs="Times New Roman"/>
          <w:i/>
          <w:iCs/>
          <w:sz w:val="24"/>
          <w:szCs w:val="24"/>
        </w:rPr>
        <w:t xml:space="preserve"> v. Thomas</w:t>
      </w:r>
      <w:r w:rsidRPr="00F06182">
        <w:rPr>
          <w:rFonts w:ascii="Times New Roman" w:hAnsi="Times New Roman" w:cs="Times New Roman"/>
          <w:sz w:val="24"/>
          <w:szCs w:val="24"/>
        </w:rPr>
        <w:t>, 809 F.2d 1371, 1376 (9th Cir. 1987) (</w:t>
      </w:r>
      <w:r w:rsidR="00467FA6">
        <w:rPr>
          <w:rFonts w:ascii="Times New Roman" w:hAnsi="Times New Roman" w:cs="Times New Roman"/>
          <w:sz w:val="24"/>
          <w:szCs w:val="24"/>
        </w:rPr>
        <w:t>considering</w:t>
      </w:r>
      <w:r w:rsidR="00467FA6" w:rsidRPr="00F06182">
        <w:rPr>
          <w:rFonts w:ascii="Times New Roman" w:hAnsi="Times New Roman" w:cs="Times New Roman"/>
          <w:sz w:val="24"/>
          <w:szCs w:val="24"/>
        </w:rPr>
        <w:t xml:space="preserve"> </w:t>
      </w:r>
      <w:r w:rsidRPr="00F06182">
        <w:rPr>
          <w:rFonts w:ascii="Times New Roman" w:hAnsi="Times New Roman" w:cs="Times New Roman"/>
          <w:sz w:val="24"/>
          <w:szCs w:val="24"/>
        </w:rPr>
        <w:t xml:space="preserve">transfer of job duties and “undeserved” performance ratings); </w:t>
      </w:r>
      <w:r w:rsidRPr="00F06182">
        <w:rPr>
          <w:rFonts w:ascii="Times New Roman" w:hAnsi="Times New Roman" w:cs="Times New Roman"/>
          <w:i/>
          <w:iCs/>
          <w:sz w:val="24"/>
          <w:szCs w:val="24"/>
        </w:rPr>
        <w:t>Ruggles v. Cal. Poly. State Univ.</w:t>
      </w:r>
      <w:r w:rsidRPr="00F06182">
        <w:rPr>
          <w:rFonts w:ascii="Times New Roman" w:hAnsi="Times New Roman" w:cs="Times New Roman"/>
          <w:sz w:val="24"/>
          <w:szCs w:val="24"/>
        </w:rPr>
        <w:t>, 797 F.2d 782, 785 (9th Cir. 1986) (</w:t>
      </w:r>
      <w:r w:rsidR="00467FA6">
        <w:rPr>
          <w:rFonts w:ascii="Times New Roman" w:hAnsi="Times New Roman" w:cs="Times New Roman"/>
          <w:sz w:val="24"/>
          <w:szCs w:val="24"/>
        </w:rPr>
        <w:t>discussing</w:t>
      </w:r>
      <w:r w:rsidR="00467FA6" w:rsidRPr="00F06182">
        <w:rPr>
          <w:rFonts w:ascii="Times New Roman" w:hAnsi="Times New Roman" w:cs="Times New Roman"/>
          <w:sz w:val="24"/>
          <w:szCs w:val="24"/>
        </w:rPr>
        <w:t xml:space="preserve"> </w:t>
      </w:r>
      <w:r w:rsidRPr="00F06182">
        <w:rPr>
          <w:rFonts w:ascii="Times New Roman" w:hAnsi="Times New Roman" w:cs="Times New Roman"/>
          <w:sz w:val="24"/>
          <w:szCs w:val="24"/>
        </w:rPr>
        <w:t xml:space="preserve">failure to hire); </w:t>
      </w:r>
      <w:r w:rsidRPr="00F06182">
        <w:rPr>
          <w:rFonts w:ascii="Times New Roman" w:hAnsi="Times New Roman" w:cs="Times New Roman"/>
          <w:i/>
          <w:iCs/>
          <w:sz w:val="24"/>
          <w:szCs w:val="24"/>
        </w:rPr>
        <w:t xml:space="preserve">E.E.O.C. v. Crown </w:t>
      </w:r>
      <w:proofErr w:type="spellStart"/>
      <w:r w:rsidRPr="00F06182">
        <w:rPr>
          <w:rFonts w:ascii="Times New Roman" w:hAnsi="Times New Roman" w:cs="Times New Roman"/>
          <w:i/>
          <w:iCs/>
          <w:sz w:val="24"/>
          <w:szCs w:val="24"/>
        </w:rPr>
        <w:t>Zellerbach</w:t>
      </w:r>
      <w:proofErr w:type="spellEnd"/>
      <w:r w:rsidRPr="00F06182">
        <w:rPr>
          <w:rFonts w:ascii="Times New Roman" w:hAnsi="Times New Roman" w:cs="Times New Roman"/>
          <w:i/>
          <w:iCs/>
          <w:sz w:val="24"/>
          <w:szCs w:val="24"/>
        </w:rPr>
        <w:t xml:space="preserve"> Corp.</w:t>
      </w:r>
      <w:r w:rsidRPr="00F06182">
        <w:rPr>
          <w:rFonts w:ascii="Times New Roman" w:hAnsi="Times New Roman" w:cs="Times New Roman"/>
          <w:sz w:val="24"/>
          <w:szCs w:val="24"/>
        </w:rPr>
        <w:t>, 720 F.2d 1008, 1012 (9th Cir. 1983)</w:t>
      </w:r>
      <w:r w:rsidRPr="00F061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6182">
        <w:rPr>
          <w:rFonts w:ascii="Times New Roman" w:hAnsi="Times New Roman" w:cs="Times New Roman"/>
          <w:sz w:val="24"/>
          <w:szCs w:val="24"/>
        </w:rPr>
        <w:t>(</w:t>
      </w:r>
      <w:r w:rsidR="00467FA6">
        <w:rPr>
          <w:rFonts w:ascii="Times New Roman" w:hAnsi="Times New Roman" w:cs="Times New Roman"/>
          <w:sz w:val="24"/>
          <w:szCs w:val="24"/>
        </w:rPr>
        <w:t>discussing</w:t>
      </w:r>
      <w:r w:rsidR="00467FA6" w:rsidRPr="00F06182">
        <w:rPr>
          <w:rFonts w:ascii="Times New Roman" w:hAnsi="Times New Roman" w:cs="Times New Roman"/>
          <w:sz w:val="24"/>
          <w:szCs w:val="24"/>
        </w:rPr>
        <w:t xml:space="preserve"> </w:t>
      </w:r>
      <w:r w:rsidRPr="00F06182">
        <w:rPr>
          <w:rFonts w:ascii="Times New Roman" w:hAnsi="Times New Roman" w:cs="Times New Roman"/>
          <w:sz w:val="24"/>
          <w:szCs w:val="24"/>
        </w:rPr>
        <w:t>four-month disciplinary suspension).</w:t>
      </w:r>
    </w:p>
    <w:p w14:paraId="4D28F276" w14:textId="77777777" w:rsidR="00F06182" w:rsidRPr="00F06182" w:rsidRDefault="00F06182" w:rsidP="00F06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6152B" w14:textId="3B115C4D" w:rsidR="00FE7F82" w:rsidRDefault="00F06182" w:rsidP="00F06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182">
        <w:rPr>
          <w:rFonts w:ascii="Times New Roman" w:hAnsi="Times New Roman" w:cs="Times New Roman"/>
          <w:sz w:val="24"/>
          <w:szCs w:val="24"/>
        </w:rPr>
        <w:tab/>
        <w:t xml:space="preserve">Other conduct, however, may not constitute an adverse employment action. </w:t>
      </w:r>
      <w:r w:rsidRPr="00F06182">
        <w:rPr>
          <w:rFonts w:ascii="Times New Roman" w:hAnsi="Times New Roman" w:cs="Times New Roman"/>
          <w:i/>
          <w:iCs/>
          <w:sz w:val="24"/>
          <w:szCs w:val="24"/>
        </w:rPr>
        <w:t xml:space="preserve">See, e.g., Lyons v. England, </w:t>
      </w:r>
      <w:r w:rsidRPr="00F06182">
        <w:rPr>
          <w:rFonts w:ascii="Times New Roman" w:hAnsi="Times New Roman" w:cs="Times New Roman"/>
          <w:sz w:val="24"/>
          <w:szCs w:val="24"/>
        </w:rPr>
        <w:t>307 F.3d 1092, 1118 (9th Cir. 2002) (</w:t>
      </w:r>
      <w:r w:rsidR="00467FA6">
        <w:rPr>
          <w:rFonts w:ascii="Times New Roman" w:hAnsi="Times New Roman" w:cs="Times New Roman"/>
          <w:sz w:val="24"/>
          <w:szCs w:val="24"/>
        </w:rPr>
        <w:t xml:space="preserve">giving </w:t>
      </w:r>
      <w:r w:rsidRPr="00F06182">
        <w:rPr>
          <w:rFonts w:ascii="Times New Roman" w:hAnsi="Times New Roman" w:cs="Times New Roman"/>
          <w:sz w:val="24"/>
          <w:szCs w:val="24"/>
        </w:rPr>
        <w:t xml:space="preserve">“mediocre” performance evaluation not made available to other potential employers and unaccompanied by any meaningful change in work assignments); </w:t>
      </w:r>
      <w:r w:rsidRPr="00F06182">
        <w:rPr>
          <w:rFonts w:ascii="Times New Roman" w:hAnsi="Times New Roman" w:cs="Times New Roman"/>
          <w:i/>
          <w:iCs/>
          <w:sz w:val="24"/>
          <w:szCs w:val="24"/>
        </w:rPr>
        <w:t>Brooks v. City of San Mateo</w:t>
      </w:r>
      <w:r w:rsidRPr="00F06182">
        <w:rPr>
          <w:rFonts w:ascii="Times New Roman" w:hAnsi="Times New Roman" w:cs="Times New Roman"/>
          <w:sz w:val="24"/>
          <w:szCs w:val="24"/>
        </w:rPr>
        <w:t>, 229 F.3d 917, 929 (9th Cir. 2000) (</w:t>
      </w:r>
      <w:r w:rsidR="0038725A">
        <w:rPr>
          <w:rFonts w:ascii="Times New Roman" w:hAnsi="Times New Roman" w:cs="Times New Roman"/>
          <w:sz w:val="24"/>
          <w:szCs w:val="24"/>
        </w:rPr>
        <w:t xml:space="preserve">ostracizing </w:t>
      </w:r>
      <w:r w:rsidRPr="00F06182">
        <w:rPr>
          <w:rFonts w:ascii="Times New Roman" w:hAnsi="Times New Roman" w:cs="Times New Roman"/>
          <w:sz w:val="24"/>
          <w:szCs w:val="24"/>
        </w:rPr>
        <w:t xml:space="preserve"> by co-workers); </w:t>
      </w:r>
      <w:proofErr w:type="spellStart"/>
      <w:r w:rsidRPr="00F06182">
        <w:rPr>
          <w:rFonts w:ascii="Times New Roman" w:hAnsi="Times New Roman" w:cs="Times New Roman"/>
          <w:i/>
          <w:iCs/>
          <w:sz w:val="24"/>
          <w:szCs w:val="24"/>
        </w:rPr>
        <w:t>McAlindin</w:t>
      </w:r>
      <w:proofErr w:type="spellEnd"/>
      <w:r w:rsidRPr="00F06182">
        <w:rPr>
          <w:rFonts w:ascii="Times New Roman" w:hAnsi="Times New Roman" w:cs="Times New Roman"/>
          <w:i/>
          <w:iCs/>
          <w:sz w:val="24"/>
          <w:szCs w:val="24"/>
        </w:rPr>
        <w:t xml:space="preserve"> v. County of San Diego</w:t>
      </w:r>
      <w:r w:rsidRPr="00F06182">
        <w:rPr>
          <w:rFonts w:ascii="Times New Roman" w:hAnsi="Times New Roman" w:cs="Times New Roman"/>
          <w:sz w:val="24"/>
          <w:szCs w:val="24"/>
        </w:rPr>
        <w:t>, 192 F.3d 1226, 1238-39 (9th Cir. 1999) (</w:t>
      </w:r>
      <w:r w:rsidR="0038725A">
        <w:rPr>
          <w:rFonts w:ascii="Times New Roman" w:hAnsi="Times New Roman" w:cs="Times New Roman"/>
          <w:sz w:val="24"/>
          <w:szCs w:val="24"/>
        </w:rPr>
        <w:t>refusing</w:t>
      </w:r>
      <w:r w:rsidRPr="00F06182">
        <w:rPr>
          <w:rFonts w:ascii="Times New Roman" w:hAnsi="Times New Roman" w:cs="Times New Roman"/>
          <w:sz w:val="24"/>
          <w:szCs w:val="24"/>
        </w:rPr>
        <w:t xml:space="preserve"> to hold job open beyond period dictated by company’s leave policy), </w:t>
      </w:r>
      <w:r w:rsidRPr="00F06182">
        <w:rPr>
          <w:rFonts w:ascii="Times New Roman" w:hAnsi="Times New Roman" w:cs="Times New Roman"/>
          <w:i/>
          <w:iCs/>
          <w:sz w:val="24"/>
          <w:szCs w:val="24"/>
        </w:rPr>
        <w:t>amended by</w:t>
      </w:r>
      <w:r w:rsidRPr="00F06182">
        <w:rPr>
          <w:rFonts w:ascii="Times New Roman" w:hAnsi="Times New Roman" w:cs="Times New Roman"/>
          <w:sz w:val="24"/>
          <w:szCs w:val="24"/>
        </w:rPr>
        <w:t xml:space="preserve"> 201 F.3d 1211; </w:t>
      </w:r>
      <w:r w:rsidRPr="00F06182">
        <w:rPr>
          <w:rFonts w:ascii="Times New Roman" w:hAnsi="Times New Roman" w:cs="Times New Roman"/>
          <w:i/>
          <w:iCs/>
          <w:sz w:val="24"/>
          <w:szCs w:val="24"/>
        </w:rPr>
        <w:t>Nunez v. City of Los Angeles</w:t>
      </w:r>
      <w:r w:rsidRPr="00F06182">
        <w:rPr>
          <w:rFonts w:ascii="Times New Roman" w:hAnsi="Times New Roman" w:cs="Times New Roman"/>
          <w:sz w:val="24"/>
          <w:szCs w:val="24"/>
        </w:rPr>
        <w:t xml:space="preserve">, 147 F.3d 867, 875 (9th Cir. </w:t>
      </w:r>
      <w:r w:rsidRPr="00F06182">
        <w:rPr>
          <w:rFonts w:ascii="Times New Roman" w:hAnsi="Times New Roman" w:cs="Times New Roman"/>
          <w:sz w:val="24"/>
          <w:szCs w:val="24"/>
        </w:rPr>
        <w:lastRenderedPageBreak/>
        <w:t xml:space="preserve">1998) ( “badmouthing” of employee); </w:t>
      </w:r>
      <w:proofErr w:type="spellStart"/>
      <w:r w:rsidRPr="00F06182">
        <w:rPr>
          <w:rFonts w:ascii="Times New Roman" w:hAnsi="Times New Roman" w:cs="Times New Roman"/>
          <w:i/>
          <w:iCs/>
          <w:sz w:val="24"/>
          <w:szCs w:val="24"/>
        </w:rPr>
        <w:t>Nidds</w:t>
      </w:r>
      <w:proofErr w:type="spellEnd"/>
      <w:r w:rsidRPr="00F06182">
        <w:rPr>
          <w:rFonts w:ascii="Times New Roman" w:hAnsi="Times New Roman" w:cs="Times New Roman"/>
          <w:i/>
          <w:iCs/>
          <w:sz w:val="24"/>
          <w:szCs w:val="24"/>
        </w:rPr>
        <w:t xml:space="preserve"> v. Schindler Elevator Corp.</w:t>
      </w:r>
      <w:r w:rsidRPr="00F06182">
        <w:rPr>
          <w:rFonts w:ascii="Times New Roman" w:hAnsi="Times New Roman" w:cs="Times New Roman"/>
          <w:sz w:val="24"/>
          <w:szCs w:val="24"/>
        </w:rPr>
        <w:t>, 113 F.3d 912, 919 (9th Cir. 1996) (transfer</w:t>
      </w:r>
      <w:r w:rsidR="00F42C6A">
        <w:rPr>
          <w:rFonts w:ascii="Times New Roman" w:hAnsi="Times New Roman" w:cs="Times New Roman"/>
          <w:sz w:val="24"/>
          <w:szCs w:val="24"/>
        </w:rPr>
        <w:t>ring</w:t>
      </w:r>
      <w:r w:rsidRPr="00F06182">
        <w:rPr>
          <w:rFonts w:ascii="Times New Roman" w:hAnsi="Times New Roman" w:cs="Times New Roman"/>
          <w:sz w:val="24"/>
          <w:szCs w:val="24"/>
        </w:rPr>
        <w:t xml:space="preserve"> with no effect on salary).</w:t>
      </w:r>
    </w:p>
    <w:p w14:paraId="27F6E544" w14:textId="2EF0C139" w:rsidR="00A71D0B" w:rsidRDefault="00A71D0B" w:rsidP="00F06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17F4C" w14:textId="579EEC10" w:rsidR="00A71D0B" w:rsidRPr="00971886" w:rsidRDefault="00A71D0B" w:rsidP="00971886">
      <w:pPr>
        <w:spacing w:after="0" w:line="240" w:lineRule="auto"/>
        <w:jc w:val="right"/>
        <w:rPr>
          <w:i/>
          <w:iCs/>
        </w:rPr>
      </w:pPr>
      <w:r w:rsidRPr="00971886">
        <w:rPr>
          <w:rFonts w:ascii="Times New Roman" w:hAnsi="Times New Roman" w:cs="Times New Roman"/>
          <w:i/>
          <w:iCs/>
          <w:sz w:val="24"/>
          <w:szCs w:val="24"/>
        </w:rPr>
        <w:t>Revised Mar. 2023</w:t>
      </w:r>
    </w:p>
    <w:sectPr w:rsidR="00A71D0B" w:rsidRPr="00971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82"/>
    <w:rsid w:val="00111915"/>
    <w:rsid w:val="0038725A"/>
    <w:rsid w:val="00467FA6"/>
    <w:rsid w:val="00764345"/>
    <w:rsid w:val="00887257"/>
    <w:rsid w:val="00937A8D"/>
    <w:rsid w:val="00971886"/>
    <w:rsid w:val="009A75C0"/>
    <w:rsid w:val="00A71D0B"/>
    <w:rsid w:val="00AF0BA2"/>
    <w:rsid w:val="00F06182"/>
    <w:rsid w:val="00F42C6A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25B86"/>
  <w15:chartTrackingRefBased/>
  <w15:docId w15:val="{8E3B98E9-6545-42E5-B20F-22AAE77F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A75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Aejung Yoon</dc:creator>
  <cp:keywords/>
  <dc:description/>
  <cp:lastModifiedBy>Ava Amerie</cp:lastModifiedBy>
  <cp:revision>2</cp:revision>
  <dcterms:created xsi:type="dcterms:W3CDTF">2023-04-21T17:00:00Z</dcterms:created>
  <dcterms:modified xsi:type="dcterms:W3CDTF">2023-04-21T17:00:00Z</dcterms:modified>
</cp:coreProperties>
</file>