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8612" w14:textId="263F0D67" w:rsidR="004C76C1" w:rsidRPr="004C76C1" w:rsidRDefault="004C76C1" w:rsidP="004C76C1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bookmarkStart w:id="0" w:name="_Toc221525223"/>
      <w:r w:rsidRPr="004C76C1">
        <w:rPr>
          <w:rFonts w:eastAsia="Calibri" w:cs="Times New Roman"/>
          <w:b/>
          <w:bCs/>
        </w:rPr>
        <w:t>10.14 Civil Rights—Title VII</w:t>
      </w:r>
      <w:proofErr w:type="gramStart"/>
      <w:r w:rsidRPr="004C76C1">
        <w:rPr>
          <w:rFonts w:eastAsia="Calibri" w:cs="Times New Roman"/>
          <w:b/>
          <w:bCs/>
        </w:rPr>
        <w:t>—“</w:t>
      </w:r>
      <w:proofErr w:type="gramEnd"/>
      <w:r w:rsidRPr="004C76C1">
        <w:rPr>
          <w:rFonts w:eastAsia="Calibri" w:cs="Times New Roman"/>
          <w:b/>
          <w:bCs/>
        </w:rPr>
        <w:t>Tangible Employment Action” Defined</w:t>
      </w:r>
      <w:bookmarkEnd w:id="0"/>
    </w:p>
    <w:p w14:paraId="4C2CA8EB" w14:textId="77777777" w:rsidR="004C76C1" w:rsidRDefault="004C76C1" w:rsidP="004C76C1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</w:p>
    <w:p w14:paraId="15360665" w14:textId="1E8E179D" w:rsidR="004C76C1" w:rsidRPr="002B283E" w:rsidRDefault="004C76C1" w:rsidP="004C76C1">
      <w:pPr>
        <w:autoSpaceDE w:val="0"/>
        <w:autoSpaceDN w:val="0"/>
        <w:adjustRightInd w:val="0"/>
        <w:ind w:firstLine="72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 xml:space="preserve">Tangible employment actions are </w:t>
      </w:r>
      <w:proofErr w:type="gramStart"/>
      <w:r w:rsidRPr="002B283E">
        <w:rPr>
          <w:rFonts w:cs="Times New Roman"/>
          <w:szCs w:val="24"/>
        </w:rPr>
        <w:t>the means by which</w:t>
      </w:r>
      <w:proofErr w:type="gramEnd"/>
      <w:r w:rsidRPr="002B283E">
        <w:rPr>
          <w:rFonts w:cs="Times New Roman"/>
          <w:szCs w:val="24"/>
        </w:rPr>
        <w:t xml:space="preserve"> a supervisor brings the official power of the enterprise to bear on subordinates. A tangible employment action requires an official act of the enterprise, a company act. A tangible employment action consists of a significant change in employment status such as [</w:t>
      </w:r>
      <w:proofErr w:type="gramStart"/>
      <w:r w:rsidRPr="002B283E">
        <w:rPr>
          <w:rFonts w:cs="Times New Roman"/>
          <w:szCs w:val="24"/>
        </w:rPr>
        <w:t>hiring] [firing</w:t>
      </w:r>
      <w:proofErr w:type="gramEnd"/>
      <w:r w:rsidRPr="002B283E">
        <w:rPr>
          <w:rFonts w:cs="Times New Roman"/>
          <w:szCs w:val="24"/>
        </w:rPr>
        <w:t>] [failing to promote] [reassignment] [a significant change in responsibilities] [undesirable reassignment] or [a significant change in benefits]. [A tangible employment action occurs when a superior obtains sexual favors from an employee by conditioning continued employment on participation in unwelcome acts.]</w:t>
      </w:r>
    </w:p>
    <w:p w14:paraId="549FFE66" w14:textId="77777777" w:rsidR="004C76C1" w:rsidRPr="002B283E" w:rsidRDefault="004C76C1" w:rsidP="004C76C1">
      <w:pPr>
        <w:rPr>
          <w:rFonts w:cs="Times New Roman"/>
          <w:szCs w:val="24"/>
        </w:rPr>
      </w:pPr>
    </w:p>
    <w:p w14:paraId="18EF6141" w14:textId="77777777" w:rsidR="004C76C1" w:rsidRPr="002B283E" w:rsidRDefault="004C76C1" w:rsidP="004C76C1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2B283E">
        <w:rPr>
          <w:rFonts w:cs="Times New Roman"/>
          <w:b/>
          <w:bCs/>
          <w:szCs w:val="24"/>
        </w:rPr>
        <w:t>Comment</w:t>
      </w:r>
    </w:p>
    <w:p w14:paraId="3272B80E" w14:textId="77777777" w:rsidR="004C76C1" w:rsidRPr="002B283E" w:rsidRDefault="004C76C1" w:rsidP="004C76C1">
      <w:pPr>
        <w:rPr>
          <w:rFonts w:cs="Times New Roman"/>
          <w:szCs w:val="24"/>
        </w:rPr>
      </w:pPr>
    </w:p>
    <w:p w14:paraId="760BC8D3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ab/>
        <w:t>This instruction should be given in conjunction with Instruction 10.</w:t>
      </w:r>
      <w:r>
        <w:rPr>
          <w:rFonts w:cs="Times New Roman"/>
          <w:szCs w:val="24"/>
        </w:rPr>
        <w:t>7</w:t>
      </w:r>
      <w:r w:rsidRPr="002B283E">
        <w:rPr>
          <w:rFonts w:cs="Times New Roman"/>
          <w:szCs w:val="24"/>
        </w:rPr>
        <w:t xml:space="preserve"> (Civil Rights—Title VII—Hostile Work Environment Caused by Supervisor—Claim Based on Vicarious Liability —Tangible Employment Action—Affirmative Defense).</w:t>
      </w:r>
    </w:p>
    <w:p w14:paraId="3D243B64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207452B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ab/>
        <w:t xml:space="preserve">The Supreme Court defined “tangible employment action” in </w:t>
      </w:r>
      <w:r w:rsidRPr="002B283E">
        <w:rPr>
          <w:rFonts w:cs="Times New Roman"/>
          <w:i/>
          <w:iCs/>
          <w:szCs w:val="24"/>
        </w:rPr>
        <w:t xml:space="preserve">Burlington Industries, Inc. v. </w:t>
      </w:r>
      <w:proofErr w:type="spellStart"/>
      <w:r w:rsidRPr="002B283E">
        <w:rPr>
          <w:rFonts w:cs="Times New Roman"/>
          <w:i/>
          <w:iCs/>
          <w:szCs w:val="24"/>
        </w:rPr>
        <w:t>Ellerth</w:t>
      </w:r>
      <w:proofErr w:type="spellEnd"/>
      <w:r w:rsidRPr="002B283E">
        <w:rPr>
          <w:rFonts w:cs="Times New Roman"/>
          <w:szCs w:val="24"/>
        </w:rPr>
        <w:t>, 524 U.S. 742</w:t>
      </w:r>
      <w:r>
        <w:rPr>
          <w:rFonts w:cs="Times New Roman"/>
          <w:szCs w:val="24"/>
        </w:rPr>
        <w:t>,</w:t>
      </w:r>
      <w:r w:rsidRPr="002B283E">
        <w:rPr>
          <w:rFonts w:cs="Times New Roman"/>
          <w:szCs w:val="24"/>
        </w:rPr>
        <w:t xml:space="preserve"> 761 (1998), stating, “</w:t>
      </w:r>
      <w:r>
        <w:rPr>
          <w:rFonts w:cs="Times New Roman"/>
          <w:szCs w:val="24"/>
        </w:rPr>
        <w:t>[a]</w:t>
      </w:r>
      <w:r w:rsidRPr="002B283E">
        <w:rPr>
          <w:rFonts w:cs="Times New Roman"/>
          <w:szCs w:val="24"/>
        </w:rPr>
        <w:t xml:space="preserve"> tangible employment action constitutes a significant change in employment status, such as hiring, firing, failing to promote, reassignment with significantly different responsibilities, or a decision causing a significant change in benefits.” </w:t>
      </w:r>
      <w:r w:rsidRPr="002B283E">
        <w:rPr>
          <w:rFonts w:cs="Times New Roman"/>
          <w:i/>
          <w:iCs/>
          <w:szCs w:val="24"/>
        </w:rPr>
        <w:t>Accord Vance v. Ball State Univ.</w:t>
      </w:r>
      <w:r w:rsidRPr="002B283E">
        <w:rPr>
          <w:rFonts w:cs="Times New Roman"/>
          <w:szCs w:val="24"/>
        </w:rPr>
        <w:t xml:space="preserve">, </w:t>
      </w:r>
      <w:r w:rsidRPr="00D8143C">
        <w:rPr>
          <w:rFonts w:cs="Times New Roman"/>
          <w:szCs w:val="24"/>
        </w:rPr>
        <w:t>570 U.S. 421</w:t>
      </w:r>
      <w:r w:rsidRPr="002B283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431</w:t>
      </w:r>
      <w:r w:rsidRPr="002B283E">
        <w:rPr>
          <w:rFonts w:cs="Times New Roman"/>
          <w:szCs w:val="24"/>
        </w:rPr>
        <w:t xml:space="preserve"> (2013) (holding that employer may be vicariously liable for employee’s unlawful harassment only when employer has empowered that employee to take tangible employment actions against victim).</w:t>
      </w:r>
    </w:p>
    <w:p w14:paraId="5BF5544B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DAF9AA2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ab/>
        <w:t xml:space="preserve">The meaning of the term “tangible employment action” is also discussed in </w:t>
      </w:r>
      <w:r w:rsidRPr="002B283E">
        <w:rPr>
          <w:rFonts w:cs="Times New Roman"/>
          <w:i/>
          <w:iCs/>
          <w:szCs w:val="24"/>
        </w:rPr>
        <w:t>Pennsylvania State Police v. Suders</w:t>
      </w:r>
      <w:r w:rsidRPr="002B283E">
        <w:rPr>
          <w:rFonts w:cs="Times New Roman"/>
          <w:szCs w:val="24"/>
        </w:rPr>
        <w:t xml:space="preserve">, 542 U.S. 129, 137-38 (2004), which resolved a split in the circuits as to whether a constructive discharge brought about by supervisor harassment constitutes a tangible employment action and bars the affirmative defense set out in </w:t>
      </w:r>
      <w:proofErr w:type="spellStart"/>
      <w:r w:rsidRPr="002B283E">
        <w:rPr>
          <w:rFonts w:cs="Times New Roman"/>
          <w:i/>
          <w:iCs/>
          <w:szCs w:val="24"/>
        </w:rPr>
        <w:t>Ellerth</w:t>
      </w:r>
      <w:proofErr w:type="spellEnd"/>
      <w:r w:rsidRPr="002B283E">
        <w:rPr>
          <w:rFonts w:cs="Times New Roman"/>
          <w:szCs w:val="24"/>
        </w:rPr>
        <w:t xml:space="preserve">, 524 U.S. 742, and </w:t>
      </w:r>
      <w:r w:rsidRPr="002B283E">
        <w:rPr>
          <w:rFonts w:cs="Times New Roman"/>
          <w:i/>
          <w:iCs/>
          <w:szCs w:val="24"/>
        </w:rPr>
        <w:t>Faragher v. Boca Raton</w:t>
      </w:r>
      <w:r w:rsidRPr="002B283E">
        <w:rPr>
          <w:rFonts w:cs="Times New Roman"/>
          <w:szCs w:val="24"/>
        </w:rPr>
        <w:t>, 524 U.S. 775 (1998)</w:t>
      </w:r>
      <w:r>
        <w:rPr>
          <w:rFonts w:cs="Times New Roman"/>
          <w:szCs w:val="24"/>
        </w:rPr>
        <w:t xml:space="preserve">. </w:t>
      </w:r>
      <w:r w:rsidRPr="002B283E">
        <w:rPr>
          <w:rFonts w:cs="Times New Roman"/>
          <w:i/>
          <w:iCs/>
          <w:szCs w:val="24"/>
        </w:rPr>
        <w:t>Suders</w:t>
      </w:r>
      <w:r w:rsidRPr="002B283E">
        <w:rPr>
          <w:rFonts w:cs="Times New Roman"/>
          <w:szCs w:val="24"/>
        </w:rPr>
        <w:t>, 542 U.S. at 140.</w:t>
      </w:r>
    </w:p>
    <w:p w14:paraId="04CC2D72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7F813CE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  <w:r w:rsidRPr="002B283E">
        <w:rPr>
          <w:rFonts w:cs="Times New Roman"/>
          <w:szCs w:val="24"/>
        </w:rPr>
        <w:tab/>
      </w:r>
      <w:r w:rsidRPr="002B283E">
        <w:rPr>
          <w:rFonts w:cs="Times New Roman"/>
          <w:i/>
          <w:iCs/>
          <w:szCs w:val="24"/>
        </w:rPr>
        <w:t>Suders</w:t>
      </w:r>
      <w:r w:rsidRPr="002B283E">
        <w:rPr>
          <w:rFonts w:cs="Times New Roman"/>
          <w:szCs w:val="24"/>
        </w:rPr>
        <w:t xml:space="preserve"> concluded that a constructive discharge</w:t>
      </w:r>
      <w:proofErr w:type="gramStart"/>
      <w:r w:rsidRPr="002B283E">
        <w:rPr>
          <w:rFonts w:cs="Times New Roman"/>
          <w:szCs w:val="24"/>
        </w:rPr>
        <w:t>, in itself, does</w:t>
      </w:r>
      <w:proofErr w:type="gramEnd"/>
      <w:r w:rsidRPr="002B283E">
        <w:rPr>
          <w:rFonts w:cs="Times New Roman"/>
          <w:szCs w:val="24"/>
        </w:rPr>
        <w:t xml:space="preserve"> not constitute a tangible employment action that bars the </w:t>
      </w:r>
      <w:proofErr w:type="spellStart"/>
      <w:r w:rsidRPr="002B283E">
        <w:rPr>
          <w:rFonts w:cs="Times New Roman"/>
          <w:i/>
          <w:iCs/>
          <w:szCs w:val="24"/>
        </w:rPr>
        <w:t>Ellerth</w:t>
      </w:r>
      <w:proofErr w:type="spellEnd"/>
      <w:r w:rsidRPr="002B283E">
        <w:rPr>
          <w:rFonts w:cs="Times New Roman"/>
          <w:i/>
          <w:iCs/>
          <w:szCs w:val="24"/>
        </w:rPr>
        <w:t xml:space="preserve">/Faragher </w:t>
      </w:r>
      <w:r w:rsidRPr="002B283E">
        <w:rPr>
          <w:rFonts w:cs="Times New Roman"/>
          <w:szCs w:val="24"/>
        </w:rPr>
        <w:t>affirmative defense. That defense “is available to the employer whose supervisors are charged with harassment,” and is barred only if a “tangible employment action” carried out under a supervisor’s official authority was part of the conduct leading to the constructive discharge</w:t>
      </w:r>
      <w:r>
        <w:rPr>
          <w:rFonts w:cs="Times New Roman"/>
          <w:szCs w:val="24"/>
        </w:rPr>
        <w:t xml:space="preserve">. </w:t>
      </w:r>
      <w:r w:rsidRPr="002B283E">
        <w:rPr>
          <w:rFonts w:cs="Times New Roman"/>
          <w:i/>
          <w:iCs/>
          <w:szCs w:val="24"/>
        </w:rPr>
        <w:t xml:space="preserve">Id. </w:t>
      </w:r>
      <w:r w:rsidRPr="002B283E">
        <w:rPr>
          <w:rFonts w:cs="Times New Roman"/>
          <w:szCs w:val="24"/>
        </w:rPr>
        <w:t>at 148-49.</w:t>
      </w:r>
    </w:p>
    <w:p w14:paraId="731C91CF" w14:textId="77777777" w:rsidR="004C76C1" w:rsidRPr="002B283E" w:rsidRDefault="004C76C1" w:rsidP="004C76C1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0546273" w14:textId="4FDCD7C8" w:rsidR="00147419" w:rsidRPr="004C76C1" w:rsidRDefault="004C76C1" w:rsidP="004C76C1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B283E">
        <w:rPr>
          <w:rFonts w:cs="Times New Roman"/>
          <w:szCs w:val="24"/>
        </w:rPr>
        <w:tab/>
        <w:t>In the context of quid pro quo sexual harassment, the Ninth Circuit has held that a “tangible employment action” occurs when a supervisor who abuses his supervisory authority succeeds in coercing an employee to engage in sexual acts by threats of discharge or other material job-related consequence or fails in his efforts to coerce the employee but then actually discharges her on account of her refusal to submit to his demands</w:t>
      </w:r>
      <w:r>
        <w:rPr>
          <w:rFonts w:cs="Times New Roman"/>
          <w:szCs w:val="24"/>
        </w:rPr>
        <w:t xml:space="preserve">. </w:t>
      </w:r>
      <w:r w:rsidRPr="002B283E">
        <w:rPr>
          <w:rFonts w:cs="Times New Roman"/>
          <w:i/>
          <w:iCs/>
          <w:szCs w:val="24"/>
        </w:rPr>
        <w:t>Holly D. v. Cal. Inst. of Tech.</w:t>
      </w:r>
      <w:r w:rsidRPr="002B283E">
        <w:rPr>
          <w:rFonts w:cs="Times New Roman"/>
          <w:szCs w:val="24"/>
        </w:rPr>
        <w:t xml:space="preserve">, 339 F.3d 1158, 1169 (9th Cir. 2003). In such situations, the employer may be held vicariously liable for the direct supervisor’s unlawful conduct and may not take advantage of the </w:t>
      </w:r>
      <w:proofErr w:type="spellStart"/>
      <w:r w:rsidRPr="002B283E">
        <w:rPr>
          <w:rFonts w:cs="Times New Roman"/>
          <w:i/>
          <w:iCs/>
          <w:szCs w:val="24"/>
        </w:rPr>
        <w:t>Ellerth</w:t>
      </w:r>
      <w:proofErr w:type="spellEnd"/>
      <w:r w:rsidRPr="002B283E">
        <w:rPr>
          <w:rFonts w:cs="Times New Roman"/>
          <w:i/>
          <w:iCs/>
          <w:szCs w:val="24"/>
        </w:rPr>
        <w:t xml:space="preserve">/Faragher </w:t>
      </w:r>
      <w:r w:rsidRPr="002B283E">
        <w:rPr>
          <w:rFonts w:cs="Times New Roman"/>
          <w:szCs w:val="24"/>
        </w:rPr>
        <w:t xml:space="preserve">affirmative defense. </w:t>
      </w:r>
      <w:r w:rsidRPr="002B283E">
        <w:rPr>
          <w:rFonts w:cs="Times New Roman"/>
          <w:i/>
          <w:iCs/>
          <w:szCs w:val="24"/>
        </w:rPr>
        <w:t xml:space="preserve">Id. </w:t>
      </w:r>
      <w:r w:rsidRPr="002B283E">
        <w:rPr>
          <w:rFonts w:cs="Times New Roman"/>
          <w:szCs w:val="24"/>
        </w:rPr>
        <w:t>However, an “unfulfilled, or inchoate, quid pro quo threat by a supervisor is not enough” to constitute a tangible employment action</w:t>
      </w:r>
      <w:r>
        <w:rPr>
          <w:rFonts w:cs="Times New Roman"/>
          <w:szCs w:val="24"/>
        </w:rPr>
        <w:t xml:space="preserve">. </w:t>
      </w:r>
      <w:r w:rsidRPr="002B283E">
        <w:rPr>
          <w:rFonts w:cs="Times New Roman"/>
          <w:i/>
          <w:iCs/>
          <w:szCs w:val="24"/>
        </w:rPr>
        <w:t>Id.</w:t>
      </w:r>
      <w:r w:rsidRPr="002B283E">
        <w:rPr>
          <w:rFonts w:cs="Times New Roman"/>
          <w:szCs w:val="24"/>
        </w:rPr>
        <w:t xml:space="preserve"> at 1170</w:t>
      </w:r>
      <w:r>
        <w:rPr>
          <w:rFonts w:cs="Times New Roman"/>
          <w:szCs w:val="24"/>
        </w:rPr>
        <w:t xml:space="preserve">. </w:t>
      </w:r>
      <w:r w:rsidRPr="002B283E">
        <w:rPr>
          <w:rFonts w:cs="Times New Roman"/>
          <w:szCs w:val="24"/>
        </w:rPr>
        <w:lastRenderedPageBreak/>
        <w:t>Rather, the threat must culminate in the actual coercion of a sexual act or some other “form of sufficiently concrete employment action” on account of the employee’s refusal to submit</w:t>
      </w:r>
      <w:r>
        <w:rPr>
          <w:rFonts w:cs="Times New Roman"/>
          <w:szCs w:val="24"/>
        </w:rPr>
        <w:t xml:space="preserve">. </w:t>
      </w:r>
      <w:r w:rsidRPr="002B283E">
        <w:rPr>
          <w:rFonts w:cs="Times New Roman"/>
          <w:i/>
          <w:iCs/>
          <w:szCs w:val="24"/>
        </w:rPr>
        <w:t>Id.</w:t>
      </w:r>
    </w:p>
    <w:sectPr w:rsidR="00147419" w:rsidRPr="004C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C1"/>
    <w:rsid w:val="00147419"/>
    <w:rsid w:val="003D2312"/>
    <w:rsid w:val="0042339F"/>
    <w:rsid w:val="004C76C1"/>
    <w:rsid w:val="007E0761"/>
    <w:rsid w:val="00B951E2"/>
    <w:rsid w:val="00C36D00"/>
    <w:rsid w:val="00D04691"/>
    <w:rsid w:val="00D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C249"/>
  <w15:chartTrackingRefBased/>
  <w15:docId w15:val="{DE8E3A6F-B4D7-44C5-A4EE-C866CC2E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C1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6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C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7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C1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7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1</cp:revision>
  <dcterms:created xsi:type="dcterms:W3CDTF">2026-03-26T21:19:00Z</dcterms:created>
  <dcterms:modified xsi:type="dcterms:W3CDTF">2026-03-26T21:20:00Z</dcterms:modified>
</cp:coreProperties>
</file>