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F3654" w14:textId="77777777" w:rsidR="00E808C1" w:rsidRPr="00E808C1" w:rsidRDefault="00E808C1" w:rsidP="00E808C1">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21525225"/>
      <w:r w:rsidRPr="00E808C1">
        <w:rPr>
          <w:rFonts w:ascii="Times New Roman" w:eastAsia="Calibri" w:hAnsi="Times New Roman" w:cs="Times New Roman"/>
          <w:b/>
          <w:bCs/>
          <w:kern w:val="0"/>
          <w14:ligatures w14:val="none"/>
        </w:rPr>
        <w:t>10.16 Civil Rights—Title VII—Defense—Bona Fide Occupational Qualification</w:t>
      </w:r>
      <w:bookmarkEnd w:id="0"/>
    </w:p>
    <w:p w14:paraId="6A640489" w14:textId="77777777" w:rsidR="00E808C1" w:rsidRPr="00E808C1" w:rsidRDefault="00E808C1" w:rsidP="00E808C1">
      <w:pPr>
        <w:spacing w:after="0" w:line="240" w:lineRule="auto"/>
        <w:rPr>
          <w:rFonts w:ascii="Times New Roman" w:eastAsia="Calibri" w:hAnsi="Times New Roman" w:cs="Times New Roman"/>
          <w:kern w:val="0"/>
          <w14:ligatures w14:val="none"/>
        </w:rPr>
      </w:pPr>
    </w:p>
    <w:p w14:paraId="1A0EFBAD"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ab/>
        <w:t>The defendant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w:t>
      </w:r>
      <w:r w:rsidRPr="00E808C1">
        <w:rPr>
          <w:rFonts w:ascii="Times New Roman" w:eastAsia="Calibri" w:hAnsi="Times New Roman" w:cs="Times New Roman"/>
          <w:kern w:val="0"/>
          <w:szCs w:val="22"/>
          <w14:ligatures w14:val="none"/>
        </w:rPr>
        <w:t xml:space="preserve"> </w:t>
      </w:r>
      <w:r w:rsidRPr="00E808C1">
        <w:rPr>
          <w:rFonts w:ascii="Times New Roman" w:eastAsia="Calibri" w:hAnsi="Times New Roman" w:cs="Times New Roman"/>
          <w:kern w:val="0"/>
          <w14:ligatures w14:val="none"/>
        </w:rPr>
        <w:t>contends that [religion] [sex] [national origin] is part of a bona fide occupational qualification. The defendant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w:t>
      </w:r>
      <w:r w:rsidRPr="00E808C1">
        <w:rPr>
          <w:rFonts w:ascii="Times New Roman" w:eastAsia="Calibri" w:hAnsi="Times New Roman" w:cs="Times New Roman"/>
          <w:kern w:val="0"/>
          <w:szCs w:val="22"/>
          <w14:ligatures w14:val="none"/>
        </w:rPr>
        <w:t xml:space="preserve"> </w:t>
      </w:r>
      <w:r w:rsidRPr="00E808C1">
        <w:rPr>
          <w:rFonts w:ascii="Times New Roman" w:eastAsia="Calibri" w:hAnsi="Times New Roman" w:cs="Times New Roman"/>
          <w:kern w:val="0"/>
          <w14:ligatures w14:val="none"/>
        </w:rPr>
        <w:t>has the burden of proving both of the following elements by a preponderance of the evidence:</w:t>
      </w:r>
    </w:p>
    <w:p w14:paraId="4BD9D1A5"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p>
    <w:p w14:paraId="7E4C90D0" w14:textId="77777777" w:rsidR="00E808C1" w:rsidRPr="00E808C1" w:rsidRDefault="00E808C1" w:rsidP="00E808C1">
      <w:pPr>
        <w:autoSpaceDE w:val="0"/>
        <w:autoSpaceDN w:val="0"/>
        <w:adjustRightInd w:val="0"/>
        <w:spacing w:after="0" w:line="240" w:lineRule="auto"/>
        <w:ind w:firstLine="720"/>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First, that the occupational qualification is reasonably necessary to the normal operation of the defendant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 xml:space="preserve">]’s business or enterprise; and </w:t>
      </w:r>
    </w:p>
    <w:p w14:paraId="5A5C6EA7" w14:textId="77777777" w:rsidR="00E808C1" w:rsidRPr="00E808C1" w:rsidRDefault="00E808C1" w:rsidP="00E808C1">
      <w:pPr>
        <w:autoSpaceDE w:val="0"/>
        <w:autoSpaceDN w:val="0"/>
        <w:adjustRightInd w:val="0"/>
        <w:spacing w:after="0" w:line="240" w:lineRule="auto"/>
        <w:ind w:firstLine="720"/>
        <w:rPr>
          <w:rFonts w:ascii="Times New Roman" w:eastAsia="Calibri" w:hAnsi="Times New Roman" w:cs="Times New Roman"/>
          <w:kern w:val="0"/>
          <w14:ligatures w14:val="none"/>
        </w:rPr>
      </w:pPr>
    </w:p>
    <w:p w14:paraId="270DD682" w14:textId="77777777" w:rsidR="00E808C1" w:rsidRPr="00E808C1" w:rsidRDefault="00E808C1" w:rsidP="00E808C1">
      <w:pPr>
        <w:autoSpaceDE w:val="0"/>
        <w:autoSpaceDN w:val="0"/>
        <w:adjustRightInd w:val="0"/>
        <w:spacing w:after="0" w:line="240" w:lineRule="auto"/>
        <w:ind w:firstLine="720"/>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Second, [that the defendant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w:t>
      </w:r>
      <w:r w:rsidRPr="00E808C1">
        <w:rPr>
          <w:rFonts w:ascii="Times New Roman" w:eastAsia="Calibri" w:hAnsi="Times New Roman" w:cs="Times New Roman"/>
          <w:kern w:val="0"/>
          <w:szCs w:val="22"/>
          <w14:ligatures w14:val="none"/>
        </w:rPr>
        <w:t xml:space="preserve"> </w:t>
      </w:r>
      <w:r w:rsidRPr="00E808C1">
        <w:rPr>
          <w:rFonts w:ascii="Times New Roman" w:eastAsia="Calibri" w:hAnsi="Times New Roman" w:cs="Times New Roman"/>
          <w:kern w:val="0"/>
          <w14:ligatures w14:val="none"/>
        </w:rPr>
        <w:t>had reasonable cause to believe that all [</w:t>
      </w:r>
      <w:r w:rsidRPr="00E808C1">
        <w:rPr>
          <w:rFonts w:ascii="Times New Roman" w:eastAsia="Calibri" w:hAnsi="Times New Roman" w:cs="Times New Roman"/>
          <w:i/>
          <w:iCs/>
          <w:kern w:val="0"/>
          <w:u w:val="single"/>
          <w14:ligatures w14:val="none"/>
        </w:rPr>
        <w:t>describe the class</w:t>
      </w:r>
      <w:r w:rsidRPr="00E808C1">
        <w:rPr>
          <w:rFonts w:ascii="Times New Roman" w:eastAsia="Calibri" w:hAnsi="Times New Roman" w:cs="Times New Roman"/>
          <w:kern w:val="0"/>
          <w14:ligatures w14:val="none"/>
        </w:rPr>
        <w:t xml:space="preserve">] would be unable to perform the job safely and efficiently] [or] [that it was impossible or highly impractical to consider the qualifications of each </w:t>
      </w:r>
      <w:proofErr w:type="gramStart"/>
      <w:r w:rsidRPr="00E808C1">
        <w:rPr>
          <w:rFonts w:ascii="Times New Roman" w:eastAsia="Calibri" w:hAnsi="Times New Roman" w:cs="Times New Roman"/>
          <w:kern w:val="0"/>
          <w14:ligatures w14:val="none"/>
        </w:rPr>
        <w:t>[</w:t>
      </w:r>
      <w:r w:rsidRPr="00E808C1">
        <w:rPr>
          <w:rFonts w:ascii="Times New Roman" w:eastAsia="Calibri" w:hAnsi="Times New Roman" w:cs="Times New Roman"/>
          <w:i/>
          <w:iCs/>
          <w:kern w:val="0"/>
          <w:u w:val="single"/>
          <w14:ligatures w14:val="none"/>
        </w:rPr>
        <w:t>describe the class</w:t>
      </w:r>
      <w:r w:rsidRPr="00E808C1">
        <w:rPr>
          <w:rFonts w:ascii="Times New Roman" w:eastAsia="Calibri" w:hAnsi="Times New Roman" w:cs="Times New Roman"/>
          <w:kern w:val="0"/>
          <w14:ligatures w14:val="none"/>
        </w:rPr>
        <w:t>] employee</w:t>
      </w:r>
      <w:proofErr w:type="gramEnd"/>
      <w:r w:rsidRPr="00E808C1">
        <w:rPr>
          <w:rFonts w:ascii="Times New Roman" w:eastAsia="Calibri" w:hAnsi="Times New Roman" w:cs="Times New Roman"/>
          <w:kern w:val="0"/>
          <w14:ligatures w14:val="none"/>
        </w:rPr>
        <w:t>.]</w:t>
      </w:r>
    </w:p>
    <w:p w14:paraId="58EB0AE6"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p>
    <w:p w14:paraId="4C0DF2F2"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ab/>
        <w:t>If you find that the plaintiff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w:t>
      </w:r>
      <w:r w:rsidRPr="00E808C1">
        <w:rPr>
          <w:rFonts w:ascii="Times New Roman" w:eastAsia="Calibri" w:hAnsi="Times New Roman" w:cs="Times New Roman"/>
          <w:kern w:val="0"/>
          <w:szCs w:val="22"/>
          <w14:ligatures w14:val="none"/>
        </w:rPr>
        <w:t xml:space="preserve"> </w:t>
      </w:r>
      <w:r w:rsidRPr="00E808C1">
        <w:rPr>
          <w:rFonts w:ascii="Times New Roman" w:eastAsia="Calibri" w:hAnsi="Times New Roman" w:cs="Times New Roman"/>
          <w:kern w:val="0"/>
          <w14:ligatures w14:val="none"/>
        </w:rPr>
        <w:t>has proved [his] [her] [</w:t>
      </w:r>
      <w:r w:rsidRPr="00E808C1">
        <w:rPr>
          <w:rFonts w:ascii="Times New Roman" w:eastAsia="Calibri" w:hAnsi="Times New Roman" w:cs="Times New Roman"/>
          <w:i/>
          <w:iCs/>
          <w:kern w:val="0"/>
          <w:u w:val="single"/>
          <w14:ligatures w14:val="none"/>
        </w:rPr>
        <w:t>other pronoun</w:t>
      </w:r>
      <w:r w:rsidRPr="00E808C1">
        <w:rPr>
          <w:rFonts w:ascii="Times New Roman" w:eastAsia="Calibri" w:hAnsi="Times New Roman" w:cs="Times New Roman"/>
          <w:kern w:val="0"/>
          <w14:ligatures w14:val="none"/>
        </w:rPr>
        <w:t>] claim[s], your verdict should be for the plaintiff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 unless you find that the defendant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w:t>
      </w:r>
      <w:r w:rsidRPr="00E808C1">
        <w:rPr>
          <w:rFonts w:ascii="Times New Roman" w:eastAsia="Calibri" w:hAnsi="Times New Roman" w:cs="Times New Roman"/>
          <w:kern w:val="0"/>
          <w:szCs w:val="22"/>
          <w14:ligatures w14:val="none"/>
        </w:rPr>
        <w:t xml:space="preserve"> </w:t>
      </w:r>
      <w:r w:rsidRPr="00E808C1">
        <w:rPr>
          <w:rFonts w:ascii="Times New Roman" w:eastAsia="Calibri" w:hAnsi="Times New Roman" w:cs="Times New Roman"/>
          <w:kern w:val="0"/>
          <w14:ligatures w14:val="none"/>
        </w:rPr>
        <w:t>has proved this defense, in which event your verdict should be for the defendant [</w:t>
      </w:r>
      <w:r w:rsidRPr="00E808C1">
        <w:rPr>
          <w:rFonts w:ascii="Times New Roman" w:eastAsia="Calibri" w:hAnsi="Times New Roman" w:cs="Times New Roman"/>
          <w:i/>
          <w:iCs/>
          <w:kern w:val="0"/>
          <w:u w:val="single"/>
          <w14:ligatures w14:val="none"/>
        </w:rPr>
        <w:t>name</w:t>
      </w:r>
      <w:r w:rsidRPr="00E808C1">
        <w:rPr>
          <w:rFonts w:ascii="Times New Roman" w:eastAsia="Calibri" w:hAnsi="Times New Roman" w:cs="Times New Roman"/>
          <w:kern w:val="0"/>
          <w14:ligatures w14:val="none"/>
        </w:rPr>
        <w:t xml:space="preserve">]. </w:t>
      </w:r>
    </w:p>
    <w:p w14:paraId="4E2DFC23"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p>
    <w:p w14:paraId="552EBCD4" w14:textId="77777777" w:rsidR="00E808C1" w:rsidRPr="00E808C1" w:rsidRDefault="00E808C1" w:rsidP="00E808C1">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E808C1">
        <w:rPr>
          <w:rFonts w:ascii="Times New Roman" w:eastAsia="Calibri" w:hAnsi="Times New Roman" w:cs="Times New Roman"/>
          <w:b/>
          <w:bCs/>
          <w:kern w:val="0"/>
          <w14:ligatures w14:val="none"/>
        </w:rPr>
        <w:t>Comment</w:t>
      </w:r>
    </w:p>
    <w:p w14:paraId="7D0F035A"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p>
    <w:p w14:paraId="44009AF1"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ab/>
      </w:r>
      <w:r w:rsidRPr="00E808C1">
        <w:rPr>
          <w:rFonts w:ascii="Times New Roman" w:eastAsia="Calibri" w:hAnsi="Times New Roman" w:cs="Times New Roman"/>
          <w:i/>
          <w:iCs/>
          <w:kern w:val="0"/>
          <w14:ligatures w14:val="none"/>
        </w:rPr>
        <w:t>See</w:t>
      </w:r>
      <w:r w:rsidRPr="00E808C1">
        <w:rPr>
          <w:rFonts w:ascii="Times New Roman" w:eastAsia="Calibri" w:hAnsi="Times New Roman" w:cs="Times New Roman"/>
          <w:kern w:val="0"/>
          <w14:ligatures w14:val="none"/>
        </w:rPr>
        <w:t xml:space="preserve"> 42 U.S.C. § 2000e-2(e)(1) (“[I]t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E808C1">
        <w:rPr>
          <w:rFonts w:ascii="Times New Roman" w:eastAsia="Calibri" w:hAnsi="Times New Roman" w:cs="Times New Roman"/>
          <w:i/>
          <w:iCs/>
          <w:kern w:val="0"/>
          <w14:ligatures w14:val="none"/>
        </w:rPr>
        <w:t>Western Airlines, Inc., v. Criswell</w:t>
      </w:r>
      <w:r w:rsidRPr="00E808C1">
        <w:rPr>
          <w:rFonts w:ascii="Times New Roman" w:eastAsia="Calibri" w:hAnsi="Times New Roman" w:cs="Times New Roman"/>
          <w:kern w:val="0"/>
          <w14:ligatures w14:val="none"/>
        </w:rPr>
        <w:t>, 472 U.S. 400 (1985)] and [</w:t>
      </w:r>
      <w:r w:rsidRPr="00E808C1">
        <w:rPr>
          <w:rFonts w:ascii="Times New Roman" w:eastAsia="Calibri" w:hAnsi="Times New Roman" w:cs="Times New Roman"/>
          <w:i/>
          <w:iCs/>
          <w:kern w:val="0"/>
          <w14:ligatures w14:val="none"/>
        </w:rPr>
        <w:t>Dothard v. Rawlinson</w:t>
      </w:r>
      <w:r w:rsidRPr="00E808C1">
        <w:rPr>
          <w:rFonts w:ascii="Times New Roman" w:eastAsia="Calibri" w:hAnsi="Times New Roman" w:cs="Times New Roman"/>
          <w:kern w:val="0"/>
          <w14:ligatures w14:val="none"/>
        </w:rPr>
        <w:t xml:space="preserve">, 433 U.S. 321 (1977)] that an employer must direct its concerns about a woman’s ability to perform her job safely and efficiently to those aspects of the woman’s job-related activities that fall within the ‘essence’ of the particular business.” </w:t>
      </w:r>
      <w:r w:rsidRPr="00E808C1">
        <w:rPr>
          <w:rFonts w:ascii="Times New Roman" w:eastAsia="Calibri" w:hAnsi="Times New Roman" w:cs="Times New Roman"/>
          <w:i/>
          <w:iCs/>
          <w:kern w:val="0"/>
          <w14:ligatures w14:val="none"/>
        </w:rPr>
        <w:t>Int’l Union, UAW v. Johnson Controls, Inc.</w:t>
      </w:r>
      <w:r w:rsidRPr="00E808C1">
        <w:rPr>
          <w:rFonts w:ascii="Times New Roman" w:eastAsia="Calibri" w:hAnsi="Times New Roman" w:cs="Times New Roman"/>
          <w:kern w:val="0"/>
          <w14:ligatures w14:val="none"/>
        </w:rPr>
        <w:t xml:space="preserve">, 499 U.S. 187, 206-07 (1991) (holding that no “factual basis for believing that all or substantially all women would be unable to perform safely and efficiently the duties of the job involved”); </w:t>
      </w:r>
      <w:r w:rsidRPr="00E808C1">
        <w:rPr>
          <w:rFonts w:ascii="Times New Roman" w:eastAsia="Calibri" w:hAnsi="Times New Roman" w:cs="Times New Roman"/>
          <w:i/>
          <w:iCs/>
          <w:kern w:val="0"/>
          <w14:ligatures w14:val="none"/>
        </w:rPr>
        <w:t>see also Criswell</w:t>
      </w:r>
      <w:r w:rsidRPr="00E808C1">
        <w:rPr>
          <w:rFonts w:ascii="Times New Roman" w:eastAsia="Calibri" w:hAnsi="Times New Roman" w:cs="Times New Roman"/>
          <w:kern w:val="0"/>
          <w14:ligatures w14:val="none"/>
        </w:rPr>
        <w:t xml:space="preserve">, 472 U.S. at 413 (suggesting that bona fide occupational qualification relates to the “essence” or “central mission” of employer’s business) (citing </w:t>
      </w:r>
      <w:r w:rsidRPr="00E808C1">
        <w:rPr>
          <w:rFonts w:ascii="Times New Roman" w:eastAsia="Calibri" w:hAnsi="Times New Roman" w:cs="Times New Roman"/>
          <w:i/>
          <w:iCs/>
          <w:kern w:val="0"/>
          <w14:ligatures w14:val="none"/>
        </w:rPr>
        <w:t>Usery v. Tamiami Trail Tours, Inc.</w:t>
      </w:r>
      <w:r w:rsidRPr="00E808C1">
        <w:rPr>
          <w:rFonts w:ascii="Times New Roman" w:eastAsia="Calibri" w:hAnsi="Times New Roman" w:cs="Times New Roman"/>
          <w:kern w:val="0"/>
          <w14:ligatures w14:val="none"/>
        </w:rPr>
        <w:t xml:space="preserve">, 531 F.2d 224 (5th Cir. 1976)); </w:t>
      </w:r>
      <w:r w:rsidRPr="00E808C1">
        <w:rPr>
          <w:rFonts w:ascii="Times New Roman" w:eastAsia="Calibri" w:hAnsi="Times New Roman" w:cs="Times New Roman"/>
          <w:i/>
          <w:iCs/>
          <w:kern w:val="0"/>
          <w14:ligatures w14:val="none"/>
        </w:rPr>
        <w:t>Frank v. United Airlines, Inc.</w:t>
      </w:r>
      <w:r w:rsidRPr="00E808C1">
        <w:rPr>
          <w:rFonts w:ascii="Times New Roman" w:eastAsia="Calibri" w:hAnsi="Times New Roman" w:cs="Times New Roman"/>
          <w:kern w:val="0"/>
          <w14:ligatures w14:val="none"/>
        </w:rPr>
        <w:t>, 216 F.3d 845, 855 (9th Cir. 2000) (discrimination pursuant to bona fide occupational qualification must be “reasonably necessary” to the “normal operation” of the employer’s particular business, and must concern “job-related skills and aptitudes”).</w:t>
      </w:r>
    </w:p>
    <w:p w14:paraId="6644E425"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p>
    <w:p w14:paraId="7BF13C0D"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ab/>
        <w:t xml:space="preserve">When asserting a “business necessity” defense, an employer may offer proof that it “relied on a government safety standard, even where the standard is not applicable to the category of conduct at issue.” </w:t>
      </w:r>
      <w:r w:rsidRPr="00E808C1">
        <w:rPr>
          <w:rFonts w:ascii="Times New Roman" w:eastAsia="Calibri" w:hAnsi="Times New Roman" w:cs="Times New Roman"/>
          <w:i/>
          <w:iCs/>
          <w:kern w:val="0"/>
          <w14:ligatures w14:val="none"/>
        </w:rPr>
        <w:t>Bates v. United Parcel, Inc</w:t>
      </w:r>
      <w:r w:rsidRPr="00E808C1">
        <w:rPr>
          <w:rFonts w:ascii="Times New Roman" w:eastAsia="Calibri" w:hAnsi="Times New Roman" w:cs="Times New Roman"/>
          <w:kern w:val="0"/>
          <w14:ligatures w14:val="none"/>
        </w:rPr>
        <w:t xml:space="preserve">., 511 F.3d 974, 998 (9th Cir. 2007) (involving an employer’s requirement that </w:t>
      </w:r>
      <w:proofErr w:type="gramStart"/>
      <w:r w:rsidRPr="00E808C1">
        <w:rPr>
          <w:rFonts w:ascii="Times New Roman" w:eastAsia="Calibri" w:hAnsi="Times New Roman" w:cs="Times New Roman"/>
          <w:kern w:val="0"/>
          <w14:ligatures w14:val="none"/>
        </w:rPr>
        <w:t>employee</w:t>
      </w:r>
      <w:proofErr w:type="gramEnd"/>
      <w:r w:rsidRPr="00E808C1">
        <w:rPr>
          <w:rFonts w:ascii="Times New Roman" w:eastAsia="Calibri" w:hAnsi="Times New Roman" w:cs="Times New Roman"/>
          <w:kern w:val="0"/>
          <w14:ligatures w14:val="none"/>
        </w:rPr>
        <w:t xml:space="preserve"> meet DOT hearing standard even when the vehicle driven was non-DOT regulated package vehicle).</w:t>
      </w:r>
    </w:p>
    <w:p w14:paraId="7099AC0A"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p>
    <w:p w14:paraId="5269FC6F"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ab/>
        <w:t xml:space="preserve">A bona fide occupational qualification defense does not bar a claim for discrimination if this defense is merely pretextual. </w:t>
      </w:r>
      <w:r w:rsidRPr="00E808C1">
        <w:rPr>
          <w:rFonts w:ascii="Times New Roman" w:eastAsia="Calibri" w:hAnsi="Times New Roman" w:cs="Times New Roman"/>
          <w:i/>
          <w:iCs/>
          <w:kern w:val="0"/>
          <w14:ligatures w14:val="none"/>
        </w:rPr>
        <w:t>See Zeinali v. Raytheon Co</w:t>
      </w:r>
      <w:r w:rsidRPr="00E808C1">
        <w:rPr>
          <w:rFonts w:ascii="Times New Roman" w:eastAsia="Calibri" w:hAnsi="Times New Roman" w:cs="Times New Roman"/>
          <w:kern w:val="0"/>
          <w14:ligatures w14:val="none"/>
        </w:rPr>
        <w:t xml:space="preserve">., 636 F.3d 544 (9th Cir. 2011) </w:t>
      </w:r>
    </w:p>
    <w:p w14:paraId="47061174" w14:textId="77777777" w:rsidR="00E808C1" w:rsidRPr="00E808C1" w:rsidRDefault="00E808C1" w:rsidP="00E808C1">
      <w:pPr>
        <w:autoSpaceDE w:val="0"/>
        <w:autoSpaceDN w:val="0"/>
        <w:adjustRightInd w:val="0"/>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lastRenderedPageBreak/>
        <w:t>(holding that Iranian engineer may have Title VII claim for discrimination based on race and national origin when termination was based on failure to obtain security clearance while non-Iranian engineers who did not have security clearances were retained).</w:t>
      </w:r>
    </w:p>
    <w:p w14:paraId="4ED874E5" w14:textId="77777777" w:rsidR="00E808C1" w:rsidRPr="00E808C1" w:rsidRDefault="00E808C1" w:rsidP="00E808C1">
      <w:pPr>
        <w:spacing w:after="0" w:line="240" w:lineRule="auto"/>
        <w:rPr>
          <w:rFonts w:ascii="Times New Roman" w:eastAsia="Calibri" w:hAnsi="Times New Roman" w:cs="Times New Roman"/>
          <w:kern w:val="0"/>
          <w14:ligatures w14:val="none"/>
        </w:rPr>
      </w:pPr>
    </w:p>
    <w:p w14:paraId="6109424A" w14:textId="77777777" w:rsidR="00E808C1" w:rsidRPr="00E808C1" w:rsidRDefault="00E808C1" w:rsidP="00E808C1">
      <w:pPr>
        <w:spacing w:after="0" w:line="240" w:lineRule="auto"/>
        <w:rPr>
          <w:rFonts w:ascii="Times New Roman" w:eastAsia="Calibri" w:hAnsi="Times New Roman" w:cs="Times New Roman"/>
          <w:kern w:val="0"/>
          <w14:ligatures w14:val="none"/>
        </w:rPr>
      </w:pPr>
      <w:r w:rsidRPr="00E808C1">
        <w:rPr>
          <w:rFonts w:ascii="Times New Roman" w:eastAsia="Calibri" w:hAnsi="Times New Roman" w:cs="Times New Roman"/>
          <w:kern w:val="0"/>
          <w14:ligatures w14:val="none"/>
        </w:rPr>
        <w:tab/>
        <w:t xml:space="preserve">“Under Title VII, the [bona fide occupational qualification] defense is not available at all where discrimination is based on race or color.” </w:t>
      </w:r>
      <w:r w:rsidRPr="00E808C1">
        <w:rPr>
          <w:rFonts w:ascii="Times New Roman" w:eastAsia="Calibri" w:hAnsi="Times New Roman" w:cs="Times New Roman"/>
          <w:i/>
          <w:iCs/>
          <w:kern w:val="0"/>
          <w14:ligatures w14:val="none"/>
        </w:rPr>
        <w:t>Morton v. United Parcel Serv</w:t>
      </w:r>
      <w:r w:rsidRPr="00E808C1">
        <w:rPr>
          <w:rFonts w:ascii="Times New Roman" w:eastAsia="Calibri" w:hAnsi="Times New Roman" w:cs="Times New Roman"/>
          <w:kern w:val="0"/>
          <w14:ligatures w14:val="none"/>
        </w:rPr>
        <w:t xml:space="preserve">., 272 F.3d 1249, 1260 n.11 (9th Cir. 2001). </w:t>
      </w:r>
      <w:bookmarkStart w:id="1" w:name="10.14_Civil_Rights—Title_VII—Defense—Bon"/>
      <w:bookmarkEnd w:id="1"/>
      <w:r w:rsidRPr="00E808C1">
        <w:rPr>
          <w:rFonts w:ascii="Times New Roman" w:eastAsia="Calibri" w:hAnsi="Times New Roman" w:cs="Times New Roman"/>
          <w:kern w:val="0"/>
          <w14:ligatures w14:val="none"/>
        </w:rPr>
        <w:t xml:space="preserve">Limited gender discrimination may be permissible in prison </w:t>
      </w:r>
      <w:proofErr w:type="gramStart"/>
      <w:r w:rsidRPr="00E808C1">
        <w:rPr>
          <w:rFonts w:ascii="Times New Roman" w:eastAsia="Calibri" w:hAnsi="Times New Roman" w:cs="Times New Roman"/>
          <w:kern w:val="0"/>
          <w14:ligatures w14:val="none"/>
        </w:rPr>
        <w:t>employment</w:t>
      </w:r>
      <w:proofErr w:type="gramEnd"/>
      <w:r w:rsidRPr="00E808C1">
        <w:rPr>
          <w:rFonts w:ascii="Times New Roman" w:eastAsia="Calibri" w:hAnsi="Times New Roman" w:cs="Times New Roman"/>
          <w:kern w:val="0"/>
          <w14:ligatures w14:val="none"/>
        </w:rPr>
        <w:t xml:space="preserve"> but the employer must have an objective “basis in fact” that the gender discrimination is “reasonably necessary” to the business operation. </w:t>
      </w:r>
      <w:r w:rsidRPr="00E808C1">
        <w:rPr>
          <w:rFonts w:ascii="Times New Roman" w:eastAsia="Calibri" w:hAnsi="Times New Roman" w:cs="Times New Roman"/>
          <w:i/>
          <w:iCs/>
          <w:kern w:val="0"/>
          <w14:ligatures w14:val="none"/>
        </w:rPr>
        <w:t xml:space="preserve">Teamsters Loc. Union No. 117 v. Wash. </w:t>
      </w:r>
      <w:proofErr w:type="spellStart"/>
      <w:r w:rsidRPr="00E808C1">
        <w:rPr>
          <w:rFonts w:ascii="Times New Roman" w:eastAsia="Calibri" w:hAnsi="Times New Roman" w:cs="Times New Roman"/>
          <w:i/>
          <w:iCs/>
          <w:kern w:val="0"/>
          <w14:ligatures w14:val="none"/>
        </w:rPr>
        <w:t>Dep’t</w:t>
      </w:r>
      <w:proofErr w:type="spellEnd"/>
      <w:r w:rsidRPr="00E808C1">
        <w:rPr>
          <w:rFonts w:ascii="Times New Roman" w:eastAsia="Calibri" w:hAnsi="Times New Roman" w:cs="Times New Roman"/>
          <w:i/>
          <w:iCs/>
          <w:kern w:val="0"/>
          <w14:ligatures w14:val="none"/>
        </w:rPr>
        <w:t xml:space="preserve"> of Corr.</w:t>
      </w:r>
      <w:r w:rsidRPr="00E808C1">
        <w:rPr>
          <w:rFonts w:ascii="Times New Roman" w:eastAsia="Calibri" w:hAnsi="Times New Roman" w:cs="Times New Roman"/>
          <w:kern w:val="0"/>
          <w14:ligatures w14:val="none"/>
        </w:rPr>
        <w:t>, 789 F.3d 979, 986 (9th Circ. 2015).</w:t>
      </w:r>
    </w:p>
    <w:p w14:paraId="3B410D90" w14:textId="77777777" w:rsidR="00E808C1" w:rsidRPr="00E808C1" w:rsidRDefault="00E808C1" w:rsidP="00E808C1">
      <w:pPr>
        <w:spacing w:after="0" w:line="240" w:lineRule="auto"/>
        <w:rPr>
          <w:rFonts w:ascii="Times New Roman" w:eastAsia="Calibri" w:hAnsi="Times New Roman" w:cs="Times New Roman"/>
          <w:kern w:val="0"/>
          <w14:ligatures w14:val="none"/>
        </w:rPr>
      </w:pPr>
    </w:p>
    <w:p w14:paraId="49B230BE" w14:textId="77777777" w:rsidR="00E808C1" w:rsidRPr="00E808C1" w:rsidRDefault="00E808C1" w:rsidP="00E808C1">
      <w:pPr>
        <w:spacing w:after="0" w:line="240" w:lineRule="auto"/>
        <w:jc w:val="right"/>
        <w:rPr>
          <w:rFonts w:ascii="Times New Roman" w:eastAsia="Calibri" w:hAnsi="Times New Roman" w:cs="Times New Roman"/>
          <w:kern w:val="0"/>
          <w14:ligatures w14:val="none"/>
        </w:rPr>
      </w:pPr>
      <w:r w:rsidRPr="00E808C1">
        <w:rPr>
          <w:rFonts w:ascii="Times New Roman" w:eastAsia="Calibri" w:hAnsi="Times New Roman" w:cs="Times New Roman"/>
          <w:i/>
          <w:iCs/>
          <w:kern w:val="0"/>
          <w14:ligatures w14:val="none"/>
        </w:rPr>
        <w:t>Revised June 2024</w:t>
      </w:r>
    </w:p>
    <w:p w14:paraId="5404C449" w14:textId="77777777" w:rsidR="00E808C1" w:rsidRPr="00E808C1" w:rsidRDefault="00E808C1" w:rsidP="00E808C1">
      <w:pPr>
        <w:spacing w:after="0" w:line="240" w:lineRule="auto"/>
        <w:rPr>
          <w:rFonts w:ascii="Times New Roman" w:eastAsia="Calibri" w:hAnsi="Times New Roman" w:cs="Times New Roman"/>
          <w:kern w:val="0"/>
          <w14:ligatures w14:val="none"/>
        </w:rPr>
      </w:pPr>
    </w:p>
    <w:p w14:paraId="55EB0780" w14:textId="77777777" w:rsidR="00E808C1" w:rsidRPr="00E808C1" w:rsidRDefault="00E808C1" w:rsidP="00E808C1">
      <w:pPr>
        <w:spacing w:after="0" w:line="240" w:lineRule="auto"/>
        <w:rPr>
          <w:rFonts w:ascii="Times New Roman" w:eastAsia="Calibri" w:hAnsi="Times New Roman" w:cs="Times New Roman"/>
          <w:kern w:val="0"/>
          <w14:ligatures w14:val="none"/>
        </w:rPr>
      </w:pPr>
    </w:p>
    <w:p w14:paraId="7D1A030B"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C1"/>
    <w:rsid w:val="00147419"/>
    <w:rsid w:val="003D2312"/>
    <w:rsid w:val="0042339F"/>
    <w:rsid w:val="007E0761"/>
    <w:rsid w:val="00B951E2"/>
    <w:rsid w:val="00C36D00"/>
    <w:rsid w:val="00D04691"/>
    <w:rsid w:val="00D54CA4"/>
    <w:rsid w:val="00E8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65E5"/>
  <w15:chartTrackingRefBased/>
  <w15:docId w15:val="{E56A98A5-B9DD-4F20-9251-AC3BB299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8C1"/>
    <w:rPr>
      <w:rFonts w:eastAsiaTheme="majorEastAsia" w:cstheme="majorBidi"/>
      <w:color w:val="272727" w:themeColor="text1" w:themeTint="D8"/>
    </w:rPr>
  </w:style>
  <w:style w:type="paragraph" w:styleId="Title">
    <w:name w:val="Title"/>
    <w:basedOn w:val="Normal"/>
    <w:next w:val="Normal"/>
    <w:link w:val="TitleChar"/>
    <w:uiPriority w:val="10"/>
    <w:qFormat/>
    <w:rsid w:val="00E80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8C1"/>
    <w:pPr>
      <w:spacing w:before="160"/>
      <w:jc w:val="center"/>
    </w:pPr>
    <w:rPr>
      <w:i/>
      <w:iCs/>
      <w:color w:val="404040" w:themeColor="text1" w:themeTint="BF"/>
    </w:rPr>
  </w:style>
  <w:style w:type="character" w:customStyle="1" w:styleId="QuoteChar">
    <w:name w:val="Quote Char"/>
    <w:basedOn w:val="DefaultParagraphFont"/>
    <w:link w:val="Quote"/>
    <w:uiPriority w:val="29"/>
    <w:rsid w:val="00E808C1"/>
    <w:rPr>
      <w:i/>
      <w:iCs/>
      <w:color w:val="404040" w:themeColor="text1" w:themeTint="BF"/>
    </w:rPr>
  </w:style>
  <w:style w:type="paragraph" w:styleId="ListParagraph">
    <w:name w:val="List Paragraph"/>
    <w:basedOn w:val="Normal"/>
    <w:uiPriority w:val="34"/>
    <w:qFormat/>
    <w:rsid w:val="00E808C1"/>
    <w:pPr>
      <w:ind w:left="720"/>
      <w:contextualSpacing/>
    </w:pPr>
  </w:style>
  <w:style w:type="character" w:styleId="IntenseEmphasis">
    <w:name w:val="Intense Emphasis"/>
    <w:basedOn w:val="DefaultParagraphFont"/>
    <w:uiPriority w:val="21"/>
    <w:qFormat/>
    <w:rsid w:val="00E808C1"/>
    <w:rPr>
      <w:i/>
      <w:iCs/>
      <w:color w:val="0F4761" w:themeColor="accent1" w:themeShade="BF"/>
    </w:rPr>
  </w:style>
  <w:style w:type="paragraph" w:styleId="IntenseQuote">
    <w:name w:val="Intense Quote"/>
    <w:basedOn w:val="Normal"/>
    <w:next w:val="Normal"/>
    <w:link w:val="IntenseQuoteChar"/>
    <w:uiPriority w:val="30"/>
    <w:qFormat/>
    <w:rsid w:val="00E80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8C1"/>
    <w:rPr>
      <w:i/>
      <w:iCs/>
      <w:color w:val="0F4761" w:themeColor="accent1" w:themeShade="BF"/>
    </w:rPr>
  </w:style>
  <w:style w:type="character" w:styleId="IntenseReference">
    <w:name w:val="Intense Reference"/>
    <w:basedOn w:val="DefaultParagraphFont"/>
    <w:uiPriority w:val="32"/>
    <w:qFormat/>
    <w:rsid w:val="00E80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2026-03-26T21:23:00Z</dcterms:created>
  <dcterms:modified xsi:type="dcterms:W3CDTF">2026-03-26T21:23:00Z</dcterms:modified>
</cp:coreProperties>
</file>