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CCD7" w14:textId="77777777" w:rsidR="008E70DC" w:rsidRPr="008E70DC" w:rsidRDefault="008E70DC" w:rsidP="008E70DC">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21525227"/>
      <w:r w:rsidRPr="008E70DC">
        <w:rPr>
          <w:rFonts w:ascii="Times New Roman" w:eastAsia="Calibri" w:hAnsi="Times New Roman" w:cs="Times New Roman"/>
          <w:b/>
          <w:bCs/>
          <w:kern w:val="0"/>
          <w14:ligatures w14:val="none"/>
        </w:rPr>
        <w:t>10.18 Civil Rights—Title VII—Defense—After-Acquired Evidence</w:t>
      </w:r>
      <w:bookmarkEnd w:id="0"/>
    </w:p>
    <w:p w14:paraId="4613446C" w14:textId="77777777" w:rsidR="008E70DC" w:rsidRPr="008E70DC" w:rsidRDefault="008E70DC" w:rsidP="008E70DC">
      <w:pPr>
        <w:autoSpaceDE w:val="0"/>
        <w:autoSpaceDN w:val="0"/>
        <w:adjustRightInd w:val="0"/>
        <w:spacing w:after="0" w:line="240" w:lineRule="auto"/>
        <w:jc w:val="center"/>
        <w:rPr>
          <w:rFonts w:ascii="Times New Roman" w:eastAsia="Calibri" w:hAnsi="Times New Roman" w:cs="Times New Roman"/>
          <w:kern w:val="0"/>
          <w14:ligatures w14:val="none"/>
        </w:rPr>
      </w:pPr>
    </w:p>
    <w:p w14:paraId="6C34C7C9"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r w:rsidRPr="008E70DC">
        <w:rPr>
          <w:rFonts w:ascii="Times New Roman" w:eastAsia="Calibri" w:hAnsi="Times New Roman" w:cs="Times New Roman"/>
          <w:kern w:val="0"/>
          <w14:ligatures w14:val="none"/>
        </w:rPr>
        <w:tab/>
        <w:t>The defendant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contends that the defendant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would have made the same decision to [discharge] [not hire] [not promote] [demote] the plaintiff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because [</w:t>
      </w:r>
      <w:r w:rsidRPr="008E70DC">
        <w:rPr>
          <w:rFonts w:ascii="Times New Roman" w:eastAsia="Calibri" w:hAnsi="Times New Roman" w:cs="Times New Roman"/>
          <w:i/>
          <w:iCs/>
          <w:kern w:val="0"/>
          <w:u w:val="single"/>
          <w14:ligatures w14:val="none"/>
        </w:rPr>
        <w:t>describe the after-discovered misconduct</w:t>
      </w:r>
      <w:r w:rsidRPr="008E70DC">
        <w:rPr>
          <w:rFonts w:ascii="Times New Roman" w:eastAsia="Calibri" w:hAnsi="Times New Roman" w:cs="Times New Roman"/>
          <w:kern w:val="0"/>
          <w14:ligatures w14:val="none"/>
        </w:rPr>
        <w:t>]. If the defendant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proves by a preponderance of the evidence that the defendant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could have made the same decision and [would have discharged] [would not have hired] [would not have promoted] [would have demoted] the plaintiff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because of [</w:t>
      </w:r>
      <w:r w:rsidRPr="008E70DC">
        <w:rPr>
          <w:rFonts w:ascii="Times New Roman" w:eastAsia="Calibri" w:hAnsi="Times New Roman" w:cs="Times New Roman"/>
          <w:i/>
          <w:iCs/>
          <w:kern w:val="0"/>
          <w:u w:val="single"/>
          <w14:ligatures w14:val="none"/>
        </w:rPr>
        <w:t>describe the after-discovered misconduct</w:t>
      </w:r>
      <w:r w:rsidRPr="008E70DC">
        <w:rPr>
          <w:rFonts w:ascii="Times New Roman" w:eastAsia="Calibri" w:hAnsi="Times New Roman" w:cs="Times New Roman"/>
          <w:kern w:val="0"/>
          <w14:ligatures w14:val="none"/>
        </w:rPr>
        <w:t>], you should limit any award of back pay to the date the employer would have made the decision to [[discharge] [not hire] [not promote] [demote]] the plaintiff [</w:t>
      </w:r>
      <w:r w:rsidRPr="008E70DC">
        <w:rPr>
          <w:rFonts w:ascii="Times New Roman" w:eastAsia="Calibri" w:hAnsi="Times New Roman" w:cs="Times New Roman"/>
          <w:i/>
          <w:iCs/>
          <w:kern w:val="0"/>
          <w:u w:val="single"/>
          <w14:ligatures w14:val="none"/>
        </w:rPr>
        <w:t>name</w:t>
      </w:r>
      <w:r w:rsidRPr="008E70DC">
        <w:rPr>
          <w:rFonts w:ascii="Times New Roman" w:eastAsia="Calibri" w:hAnsi="Times New Roman" w:cs="Times New Roman"/>
          <w:kern w:val="0"/>
          <w14:ligatures w14:val="none"/>
        </w:rPr>
        <w:t>]</w:t>
      </w:r>
      <w:r w:rsidRPr="008E70DC">
        <w:rPr>
          <w:rFonts w:ascii="Times New Roman" w:eastAsia="Calibri" w:hAnsi="Times New Roman" w:cs="Times New Roman"/>
          <w:kern w:val="0"/>
          <w:szCs w:val="22"/>
          <w14:ligatures w14:val="none"/>
        </w:rPr>
        <w:t xml:space="preserve"> </w:t>
      </w:r>
      <w:r w:rsidRPr="008E70DC">
        <w:rPr>
          <w:rFonts w:ascii="Times New Roman" w:eastAsia="Calibri" w:hAnsi="Times New Roman" w:cs="Times New Roman"/>
          <w:kern w:val="0"/>
          <w14:ligatures w14:val="none"/>
        </w:rPr>
        <w:t>as a result of [</w:t>
      </w:r>
      <w:r w:rsidRPr="008E70DC">
        <w:rPr>
          <w:rFonts w:ascii="Times New Roman" w:eastAsia="Calibri" w:hAnsi="Times New Roman" w:cs="Times New Roman"/>
          <w:i/>
          <w:iCs/>
          <w:kern w:val="0"/>
          <w:u w:val="single"/>
          <w14:ligatures w14:val="none"/>
        </w:rPr>
        <w:t>describe the after-discovered misconduct</w:t>
      </w:r>
      <w:r w:rsidRPr="008E70DC">
        <w:rPr>
          <w:rFonts w:ascii="Times New Roman" w:eastAsia="Calibri" w:hAnsi="Times New Roman" w:cs="Times New Roman"/>
          <w:kern w:val="0"/>
          <w14:ligatures w14:val="none"/>
        </w:rPr>
        <w:t>].</w:t>
      </w:r>
    </w:p>
    <w:p w14:paraId="3FE16115"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p>
    <w:p w14:paraId="44562E3B" w14:textId="77777777" w:rsidR="008E70DC" w:rsidRPr="008E70DC" w:rsidRDefault="008E70DC" w:rsidP="008E70DC">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E70DC">
        <w:rPr>
          <w:rFonts w:ascii="Times New Roman" w:eastAsia="Calibri" w:hAnsi="Times New Roman" w:cs="Times New Roman"/>
          <w:b/>
          <w:bCs/>
          <w:kern w:val="0"/>
          <w14:ligatures w14:val="none"/>
        </w:rPr>
        <w:t>Comment</w:t>
      </w:r>
    </w:p>
    <w:p w14:paraId="393871D7"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p>
    <w:p w14:paraId="457407DE"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r w:rsidRPr="008E70DC">
        <w:rPr>
          <w:rFonts w:ascii="Times New Roman" w:eastAsia="Calibri" w:hAnsi="Times New Roman" w:cs="Times New Roman"/>
          <w:kern w:val="0"/>
          <w14:ligatures w14:val="none"/>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8E70DC">
        <w:rPr>
          <w:rFonts w:ascii="Times New Roman" w:eastAsia="Calibri" w:hAnsi="Times New Roman" w:cs="Times New Roman"/>
          <w:i/>
          <w:iCs/>
          <w:kern w:val="0"/>
          <w14:ligatures w14:val="none"/>
        </w:rPr>
        <w:t>McKennon v. Nashville Banner Pub. Co.</w:t>
      </w:r>
      <w:r w:rsidRPr="008E70DC">
        <w:rPr>
          <w:rFonts w:ascii="Times New Roman" w:eastAsia="Calibri" w:hAnsi="Times New Roman" w:cs="Times New Roman"/>
          <w:kern w:val="0"/>
          <w14:ligatures w14:val="none"/>
        </w:rPr>
        <w:t xml:space="preserve">, 513 U.S. 352, 362 (1995); </w:t>
      </w:r>
      <w:r w:rsidRPr="008E70DC">
        <w:rPr>
          <w:rFonts w:ascii="Times New Roman" w:eastAsia="Calibri" w:hAnsi="Times New Roman" w:cs="Times New Roman"/>
          <w:i/>
          <w:iCs/>
          <w:kern w:val="0"/>
          <w14:ligatures w14:val="none"/>
        </w:rPr>
        <w:t xml:space="preserve">see also Rivera v. </w:t>
      </w:r>
      <w:proofErr w:type="spellStart"/>
      <w:r w:rsidRPr="008E70DC">
        <w:rPr>
          <w:rFonts w:ascii="Times New Roman" w:eastAsia="Calibri" w:hAnsi="Times New Roman" w:cs="Times New Roman"/>
          <w:i/>
          <w:iCs/>
          <w:kern w:val="0"/>
          <w14:ligatures w14:val="none"/>
        </w:rPr>
        <w:t>Nibco</w:t>
      </w:r>
      <w:proofErr w:type="spellEnd"/>
      <w:r w:rsidRPr="008E70DC">
        <w:rPr>
          <w:rFonts w:ascii="Times New Roman" w:eastAsia="Calibri" w:hAnsi="Times New Roman" w:cs="Times New Roman"/>
          <w:i/>
          <w:iCs/>
          <w:kern w:val="0"/>
          <w14:ligatures w14:val="none"/>
        </w:rPr>
        <w:t>, Inc.</w:t>
      </w:r>
      <w:r w:rsidRPr="008E70DC">
        <w:rPr>
          <w:rFonts w:ascii="Times New Roman" w:eastAsia="Calibri" w:hAnsi="Times New Roman" w:cs="Times New Roman"/>
          <w:kern w:val="0"/>
          <w14:ligatures w14:val="none"/>
        </w:rPr>
        <w:t xml:space="preserve">, 364 F.3d 1057, 1071 n.16 (9th Cir. 2004); </w:t>
      </w:r>
      <w:r w:rsidRPr="008E70DC">
        <w:rPr>
          <w:rFonts w:ascii="Times New Roman" w:eastAsia="Calibri" w:hAnsi="Times New Roman" w:cs="Times New Roman"/>
          <w:i/>
          <w:iCs/>
          <w:kern w:val="0"/>
          <w14:ligatures w14:val="none"/>
        </w:rPr>
        <w:t>O’Day v. McDonnell Douglas Helicopter Co.</w:t>
      </w:r>
      <w:r w:rsidRPr="008E70DC">
        <w:rPr>
          <w:rFonts w:ascii="Times New Roman" w:eastAsia="Calibri" w:hAnsi="Times New Roman" w:cs="Times New Roman"/>
          <w:kern w:val="0"/>
          <w14:ligatures w14:val="none"/>
        </w:rPr>
        <w:t xml:space="preserve">, 79 F.3d 756, 761-62 (9th Cir. 1996). The employer must prove by a preponderance of the evidence that it would have fired the employee because of the after-acquired evidence. </w:t>
      </w:r>
      <w:r w:rsidRPr="008E70DC">
        <w:rPr>
          <w:rFonts w:ascii="Times New Roman" w:eastAsia="Calibri" w:hAnsi="Times New Roman" w:cs="Times New Roman"/>
          <w:i/>
          <w:iCs/>
          <w:kern w:val="0"/>
          <w14:ligatures w14:val="none"/>
        </w:rPr>
        <w:t>O’Day</w:t>
      </w:r>
      <w:r w:rsidRPr="008E70DC">
        <w:rPr>
          <w:rFonts w:ascii="Times New Roman" w:eastAsia="Calibri" w:hAnsi="Times New Roman" w:cs="Times New Roman"/>
          <w:kern w:val="0"/>
          <w14:ligatures w14:val="none"/>
        </w:rPr>
        <w:t>, 79 F.3d at 761.</w:t>
      </w:r>
    </w:p>
    <w:p w14:paraId="0F5EA36C"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p>
    <w:p w14:paraId="3CB01C8F"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r w:rsidRPr="008E70DC">
        <w:rPr>
          <w:rFonts w:ascii="Times New Roman" w:eastAsia="Calibri" w:hAnsi="Times New Roman" w:cs="Times New Roman"/>
          <w:kern w:val="0"/>
          <w14:ligatures w14:val="none"/>
        </w:rPr>
        <w:tab/>
        <w:t xml:space="preserve">The defense of after-acquired evidence is </w:t>
      </w:r>
      <w:proofErr w:type="gramStart"/>
      <w:r w:rsidRPr="008E70DC">
        <w:rPr>
          <w:rFonts w:ascii="Times New Roman" w:eastAsia="Calibri" w:hAnsi="Times New Roman" w:cs="Times New Roman"/>
          <w:kern w:val="0"/>
          <w14:ligatures w14:val="none"/>
        </w:rPr>
        <w:t>similar to</w:t>
      </w:r>
      <w:proofErr w:type="gramEnd"/>
      <w:r w:rsidRPr="008E70DC">
        <w:rPr>
          <w:rFonts w:ascii="Times New Roman" w:eastAsia="Calibri" w:hAnsi="Times New Roman" w:cs="Times New Roman"/>
          <w:kern w:val="0"/>
          <w14:ligatures w14:val="none"/>
        </w:rPr>
        <w:t>,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4B4467E0"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p>
    <w:p w14:paraId="1A51D29F" w14:textId="77777777" w:rsidR="008E70DC" w:rsidRPr="008E70DC" w:rsidRDefault="008E70DC" w:rsidP="008E70DC">
      <w:pPr>
        <w:autoSpaceDE w:val="0"/>
        <w:autoSpaceDN w:val="0"/>
        <w:adjustRightInd w:val="0"/>
        <w:spacing w:after="0" w:line="240" w:lineRule="auto"/>
        <w:rPr>
          <w:rFonts w:ascii="Times New Roman" w:eastAsia="Calibri" w:hAnsi="Times New Roman" w:cs="Times New Roman"/>
          <w:kern w:val="0"/>
          <w14:ligatures w14:val="none"/>
        </w:rPr>
      </w:pPr>
      <w:r w:rsidRPr="008E70DC">
        <w:rPr>
          <w:rFonts w:ascii="Times New Roman" w:eastAsia="Calibri" w:hAnsi="Times New Roman" w:cs="Times New Roman"/>
          <w:kern w:val="0"/>
          <w14:ligatures w14:val="none"/>
        </w:rPr>
        <w:tab/>
        <w:t xml:space="preserve">The Ninth Circuit has concluded that “back pay” under various federal statutes, including Title VII, generally includes tips, holiday pay, and overtime pay. </w:t>
      </w:r>
      <w:r w:rsidRPr="008E70DC">
        <w:rPr>
          <w:rFonts w:ascii="Times New Roman" w:eastAsia="Calibri" w:hAnsi="Times New Roman" w:cs="Times New Roman"/>
          <w:i/>
          <w:iCs/>
          <w:kern w:val="0"/>
          <w14:ligatures w14:val="none"/>
        </w:rPr>
        <w:t>See</w:t>
      </w:r>
      <w:r w:rsidRPr="008E70DC">
        <w:rPr>
          <w:rFonts w:ascii="Times New Roman" w:eastAsia="Calibri" w:hAnsi="Times New Roman" w:cs="Times New Roman"/>
          <w:kern w:val="0"/>
          <w14:ligatures w14:val="none"/>
        </w:rPr>
        <w:t xml:space="preserve"> </w:t>
      </w:r>
      <w:r w:rsidRPr="008E70DC">
        <w:rPr>
          <w:rFonts w:ascii="Times New Roman" w:eastAsia="Calibri" w:hAnsi="Times New Roman" w:cs="Times New Roman"/>
          <w:i/>
          <w:iCs/>
          <w:kern w:val="0"/>
          <w14:ligatures w14:val="none"/>
        </w:rPr>
        <w:t>Local Joint Exec. Bd. of Culinary/Bartender Tr. Fund v. Las Vegas Sands, Inc.</w:t>
      </w:r>
      <w:r w:rsidRPr="008E70DC">
        <w:rPr>
          <w:rFonts w:ascii="Times New Roman" w:eastAsia="Calibri" w:hAnsi="Times New Roman" w:cs="Times New Roman"/>
          <w:kern w:val="0"/>
          <w14:ligatures w14:val="none"/>
        </w:rPr>
        <w:t>, 244 F.3d 1152, 1157 (9th Cir. 2001).</w:t>
      </w:r>
    </w:p>
    <w:p w14:paraId="5009D3DC" w14:textId="77777777" w:rsidR="008E70DC" w:rsidRPr="008E70DC" w:rsidRDefault="008E70DC" w:rsidP="008E70DC">
      <w:pPr>
        <w:autoSpaceDE w:val="0"/>
        <w:autoSpaceDN w:val="0"/>
        <w:adjustRightInd w:val="0"/>
        <w:spacing w:after="0" w:line="240" w:lineRule="auto"/>
        <w:jc w:val="right"/>
        <w:rPr>
          <w:rFonts w:ascii="Times New Roman" w:eastAsia="Calibri" w:hAnsi="Times New Roman" w:cs="Times New Roman"/>
          <w:kern w:val="0"/>
          <w14:ligatures w14:val="none"/>
        </w:rPr>
      </w:pPr>
    </w:p>
    <w:p w14:paraId="24117E4F" w14:textId="77777777" w:rsidR="008E70DC" w:rsidRPr="008E70DC" w:rsidRDefault="008E70DC" w:rsidP="008E70DC">
      <w:pPr>
        <w:spacing w:after="0" w:line="240" w:lineRule="auto"/>
        <w:rPr>
          <w:rFonts w:ascii="Times New Roman" w:eastAsia="Calibri" w:hAnsi="Times New Roman" w:cs="Times New Roman"/>
          <w:kern w:val="0"/>
          <w14:ligatures w14:val="none"/>
        </w:rPr>
      </w:pPr>
    </w:p>
    <w:p w14:paraId="4E2758F1" w14:textId="77777777" w:rsidR="008E70DC" w:rsidRPr="008E70DC" w:rsidRDefault="008E70DC" w:rsidP="008E70DC">
      <w:pPr>
        <w:spacing w:after="0" w:line="240" w:lineRule="auto"/>
        <w:jc w:val="right"/>
        <w:rPr>
          <w:rFonts w:ascii="Times New Roman" w:eastAsia="Calibri" w:hAnsi="Times New Roman" w:cs="Times New Roman"/>
          <w:i/>
          <w:iCs/>
          <w:kern w:val="0"/>
          <w14:ligatures w14:val="none"/>
        </w:rPr>
      </w:pPr>
      <w:r w:rsidRPr="008E70DC">
        <w:rPr>
          <w:rFonts w:ascii="Times New Roman" w:eastAsia="Calibri" w:hAnsi="Times New Roman" w:cs="Times New Roman"/>
          <w:i/>
          <w:iCs/>
          <w:kern w:val="0"/>
          <w14:ligatures w14:val="none"/>
        </w:rPr>
        <w:t>Revised March 2022</w:t>
      </w:r>
    </w:p>
    <w:p w14:paraId="69BDD48F"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DC"/>
    <w:rsid w:val="00147419"/>
    <w:rsid w:val="003D2312"/>
    <w:rsid w:val="0042339F"/>
    <w:rsid w:val="007E0761"/>
    <w:rsid w:val="008E70DC"/>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C0AD"/>
  <w15:chartTrackingRefBased/>
  <w15:docId w15:val="{47A5D69B-21E6-466E-B16D-FBAB2C7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DC"/>
    <w:rPr>
      <w:rFonts w:eastAsiaTheme="majorEastAsia" w:cstheme="majorBidi"/>
      <w:color w:val="272727" w:themeColor="text1" w:themeTint="D8"/>
    </w:rPr>
  </w:style>
  <w:style w:type="paragraph" w:styleId="Title">
    <w:name w:val="Title"/>
    <w:basedOn w:val="Normal"/>
    <w:next w:val="Normal"/>
    <w:link w:val="TitleChar"/>
    <w:uiPriority w:val="10"/>
    <w:qFormat/>
    <w:rsid w:val="008E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DC"/>
    <w:pPr>
      <w:spacing w:before="160"/>
      <w:jc w:val="center"/>
    </w:pPr>
    <w:rPr>
      <w:i/>
      <w:iCs/>
      <w:color w:val="404040" w:themeColor="text1" w:themeTint="BF"/>
    </w:rPr>
  </w:style>
  <w:style w:type="character" w:customStyle="1" w:styleId="QuoteChar">
    <w:name w:val="Quote Char"/>
    <w:basedOn w:val="DefaultParagraphFont"/>
    <w:link w:val="Quote"/>
    <w:uiPriority w:val="29"/>
    <w:rsid w:val="008E70DC"/>
    <w:rPr>
      <w:i/>
      <w:iCs/>
      <w:color w:val="404040" w:themeColor="text1" w:themeTint="BF"/>
    </w:rPr>
  </w:style>
  <w:style w:type="paragraph" w:styleId="ListParagraph">
    <w:name w:val="List Paragraph"/>
    <w:basedOn w:val="Normal"/>
    <w:uiPriority w:val="34"/>
    <w:qFormat/>
    <w:rsid w:val="008E70DC"/>
    <w:pPr>
      <w:ind w:left="720"/>
      <w:contextualSpacing/>
    </w:pPr>
  </w:style>
  <w:style w:type="character" w:styleId="IntenseEmphasis">
    <w:name w:val="Intense Emphasis"/>
    <w:basedOn w:val="DefaultParagraphFont"/>
    <w:uiPriority w:val="21"/>
    <w:qFormat/>
    <w:rsid w:val="008E70DC"/>
    <w:rPr>
      <w:i/>
      <w:iCs/>
      <w:color w:val="0F4761" w:themeColor="accent1" w:themeShade="BF"/>
    </w:rPr>
  </w:style>
  <w:style w:type="paragraph" w:styleId="IntenseQuote">
    <w:name w:val="Intense Quote"/>
    <w:basedOn w:val="Normal"/>
    <w:next w:val="Normal"/>
    <w:link w:val="IntenseQuoteChar"/>
    <w:uiPriority w:val="30"/>
    <w:qFormat/>
    <w:rsid w:val="008E7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0DC"/>
    <w:rPr>
      <w:i/>
      <w:iCs/>
      <w:color w:val="0F4761" w:themeColor="accent1" w:themeShade="BF"/>
    </w:rPr>
  </w:style>
  <w:style w:type="character" w:styleId="IntenseReference">
    <w:name w:val="Intense Reference"/>
    <w:basedOn w:val="DefaultParagraphFont"/>
    <w:uiPriority w:val="32"/>
    <w:qFormat/>
    <w:rsid w:val="008E7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2026-03-26T21:26:00Z</dcterms:created>
  <dcterms:modified xsi:type="dcterms:W3CDTF">2026-03-26T21:26:00Z</dcterms:modified>
</cp:coreProperties>
</file>