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CF03" w14:textId="77777777" w:rsidR="005D657B" w:rsidRPr="004746BB" w:rsidRDefault="005D657B" w:rsidP="005D657B">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39"/>
      <w:r w:rsidRPr="004746BB">
        <w:rPr>
          <w:rFonts w:ascii="Times New Roman" w:hAnsi="Times New Roman" w:cs="Times New Roman"/>
          <w:b/>
          <w:bCs/>
          <w:sz w:val="24"/>
          <w:szCs w:val="24"/>
        </w:rPr>
        <w:t>10.1 Civil Rights—Title VII—Disparate Treatment—</w:t>
      </w:r>
      <w:bookmarkEnd w:id="0"/>
      <w:r w:rsidRPr="004746BB">
        <w:rPr>
          <w:rFonts w:ascii="Times New Roman" w:hAnsi="Times New Roman" w:cs="Times New Roman"/>
          <w:b/>
          <w:bCs/>
          <w:sz w:val="24"/>
          <w:szCs w:val="24"/>
        </w:rPr>
        <w:t>Without Affirmative Defense of “Same Decision”</w:t>
      </w:r>
    </w:p>
    <w:p w14:paraId="5E797151" w14:textId="77777777" w:rsidR="005D657B" w:rsidRPr="004746BB" w:rsidRDefault="005D657B" w:rsidP="005D657B">
      <w:pPr>
        <w:pStyle w:val="Default"/>
        <w:ind w:firstLine="720"/>
        <w:rPr>
          <w:color w:val="auto"/>
        </w:rPr>
      </w:pPr>
      <w:r w:rsidRPr="004746BB">
        <w:rPr>
          <w:color w:val="auto"/>
        </w:rPr>
        <w:tab/>
      </w:r>
    </w:p>
    <w:p w14:paraId="7F83AE1B" w14:textId="77777777" w:rsidR="00B57003" w:rsidRPr="00B57003" w:rsidRDefault="00B57003" w:rsidP="00B57003">
      <w:pPr>
        <w:pStyle w:val="Default"/>
        <w:ind w:firstLine="720"/>
        <w:rPr>
          <w:color w:val="auto"/>
        </w:rPr>
      </w:pPr>
      <w:bookmarkStart w:id="1" w:name="_Hlk203997149"/>
      <w:r w:rsidRPr="00B57003">
        <w:rPr>
          <w:color w:val="auto"/>
        </w:rPr>
        <w:t xml:space="preserve">For the plaintiff </w:t>
      </w:r>
      <w:r w:rsidRPr="00B57003">
        <w:t>[</w:t>
      </w:r>
      <w:r w:rsidRPr="00B57003">
        <w:rPr>
          <w:i/>
          <w:iCs/>
          <w:u w:val="single"/>
        </w:rPr>
        <w:t>name</w:t>
      </w:r>
      <w:r w:rsidRPr="00B57003">
        <w:t>]</w:t>
      </w:r>
      <w:r w:rsidRPr="00B57003">
        <w:rPr>
          <w:color w:val="auto"/>
        </w:rPr>
        <w:t xml:space="preserve">’s claim that [he] [she] </w:t>
      </w:r>
      <w:r w:rsidRPr="00B57003">
        <w:t>[</w:t>
      </w:r>
      <w:r w:rsidRPr="00B57003">
        <w:rPr>
          <w:i/>
          <w:iCs/>
          <w:u w:val="single"/>
        </w:rPr>
        <w:t>other pronoun</w:t>
      </w:r>
      <w:r w:rsidRPr="00B57003">
        <w:t xml:space="preserve">] </w:t>
      </w:r>
      <w:r w:rsidRPr="00B57003">
        <w:rPr>
          <w:color w:val="auto"/>
        </w:rPr>
        <w:t>was [discharged] [not hired] [not promoted] [demoted] [</w:t>
      </w:r>
      <w:r w:rsidRPr="00B57003">
        <w:rPr>
          <w:i/>
          <w:iCs/>
          <w:color w:val="auto"/>
          <w:u w:val="single"/>
        </w:rPr>
        <w:t>state other adverse action</w:t>
      </w:r>
      <w:r w:rsidRPr="00B57003">
        <w:rPr>
          <w:color w:val="auto"/>
        </w:rPr>
        <w:t xml:space="preserve">] by the defendant </w:t>
      </w:r>
      <w:r w:rsidRPr="00B57003">
        <w:t>[</w:t>
      </w:r>
      <w:r w:rsidRPr="00B57003">
        <w:rPr>
          <w:i/>
          <w:iCs/>
          <w:u w:val="single"/>
        </w:rPr>
        <w:t>name</w:t>
      </w:r>
      <w:r w:rsidRPr="00B57003">
        <w:t xml:space="preserve">] </w:t>
      </w:r>
      <w:r w:rsidRPr="00B57003">
        <w:rPr>
          <w:color w:val="auto"/>
        </w:rPr>
        <w:t xml:space="preserve">because of the plaintiff </w:t>
      </w:r>
      <w:r w:rsidRPr="00B57003">
        <w:t>[</w:t>
      </w:r>
      <w:r w:rsidRPr="00B57003">
        <w:rPr>
          <w:i/>
          <w:iCs/>
          <w:u w:val="single"/>
        </w:rPr>
        <w:t>name</w:t>
      </w:r>
      <w:r w:rsidRPr="00B57003">
        <w:t>]</w:t>
      </w:r>
      <w:r w:rsidRPr="00B57003">
        <w:rPr>
          <w:color w:val="auto"/>
        </w:rPr>
        <w:t xml:space="preserve">’s [[race] [color] [religion] [sex] [national origin]], the plaintiff </w:t>
      </w:r>
      <w:r w:rsidRPr="00B57003">
        <w:t>[</w:t>
      </w:r>
      <w:r w:rsidRPr="00B57003">
        <w:rPr>
          <w:i/>
          <w:iCs/>
          <w:u w:val="single"/>
        </w:rPr>
        <w:t>name</w:t>
      </w:r>
      <w:r w:rsidRPr="00B57003">
        <w:t xml:space="preserve">] </w:t>
      </w:r>
      <w:r w:rsidRPr="00B57003">
        <w:rPr>
          <w:color w:val="auto"/>
        </w:rPr>
        <w:t xml:space="preserve">has the burden of proving the following elements by a preponderance of the evidence: </w:t>
      </w:r>
    </w:p>
    <w:p w14:paraId="79BB3DA9" w14:textId="77777777" w:rsidR="00B57003" w:rsidRPr="00B57003" w:rsidRDefault="00B57003" w:rsidP="00B57003">
      <w:pPr>
        <w:pStyle w:val="Default"/>
        <w:ind w:firstLine="720"/>
        <w:rPr>
          <w:color w:val="auto"/>
        </w:rPr>
      </w:pPr>
    </w:p>
    <w:p w14:paraId="1F398657" w14:textId="77777777" w:rsidR="00B57003" w:rsidRPr="00B57003" w:rsidRDefault="00B57003" w:rsidP="00B57003">
      <w:pPr>
        <w:widowControl w:val="0"/>
        <w:ind w:firstLine="720"/>
        <w:rPr>
          <w:rFonts w:ascii="Times New Roman" w:eastAsia="Calibri" w:hAnsi="Times New Roman" w:cs="Times New Roman"/>
          <w:i/>
          <w:iCs/>
          <w:szCs w:val="24"/>
        </w:rPr>
      </w:pPr>
      <w:r w:rsidRPr="00B57003">
        <w:rPr>
          <w:rFonts w:ascii="Times New Roman" w:eastAsia="Calibri" w:hAnsi="Times New Roman" w:cs="Times New Roman"/>
          <w:szCs w:val="24"/>
        </w:rPr>
        <w:t xml:space="preserve">First, the plaintiff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hAnsi="Times New Roman" w:cs="Times New Roman"/>
        </w:rPr>
        <w:t xml:space="preserve"> </w:t>
      </w:r>
      <w:r w:rsidRPr="00B57003">
        <w:rPr>
          <w:rFonts w:ascii="Times New Roman" w:eastAsia="Calibri" w:hAnsi="Times New Roman" w:cs="Times New Roman"/>
          <w:szCs w:val="24"/>
        </w:rPr>
        <w:t>was [discharged] [not hired] [not promoted] [demoted] [</w:t>
      </w:r>
      <w:r w:rsidRPr="00B57003">
        <w:rPr>
          <w:rFonts w:ascii="Times New Roman" w:eastAsia="Calibri" w:hAnsi="Times New Roman" w:cs="Times New Roman"/>
          <w:i/>
          <w:iCs/>
          <w:szCs w:val="24"/>
        </w:rPr>
        <w:t>state other adverse action</w:t>
      </w:r>
      <w:r w:rsidRPr="00B57003">
        <w:rPr>
          <w:rFonts w:ascii="Times New Roman" w:eastAsia="Calibri" w:hAnsi="Times New Roman" w:cs="Times New Roman"/>
          <w:szCs w:val="24"/>
        </w:rPr>
        <w:t xml:space="preserve">] by the defendant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eastAsia="Calibri" w:hAnsi="Times New Roman" w:cs="Times New Roman"/>
          <w:szCs w:val="24"/>
        </w:rPr>
        <w:t xml:space="preserve">; [and] </w:t>
      </w:r>
    </w:p>
    <w:p w14:paraId="7CE37A83" w14:textId="77777777" w:rsidR="00B57003" w:rsidRPr="00B57003" w:rsidRDefault="00B57003" w:rsidP="00B57003">
      <w:pPr>
        <w:widowControl w:val="0"/>
        <w:ind w:firstLine="720"/>
        <w:rPr>
          <w:rFonts w:ascii="Times New Roman" w:eastAsia="Calibri" w:hAnsi="Times New Roman" w:cs="Times New Roman"/>
          <w:szCs w:val="24"/>
        </w:rPr>
      </w:pPr>
    </w:p>
    <w:p w14:paraId="3DDFFBA9" w14:textId="77777777" w:rsidR="00B57003" w:rsidRPr="00B57003" w:rsidRDefault="00B57003" w:rsidP="00B57003">
      <w:pPr>
        <w:widowControl w:val="0"/>
        <w:ind w:firstLine="720"/>
        <w:rPr>
          <w:rFonts w:ascii="Times New Roman" w:eastAsia="Calibri" w:hAnsi="Times New Roman" w:cs="Times New Roman"/>
          <w:szCs w:val="24"/>
        </w:rPr>
      </w:pPr>
      <w:r w:rsidRPr="00B57003">
        <w:rPr>
          <w:rFonts w:ascii="Times New Roman" w:eastAsia="Calibri" w:hAnsi="Times New Roman" w:cs="Times New Roman"/>
          <w:szCs w:val="24"/>
        </w:rPr>
        <w:t xml:space="preserve">Second, the defendant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hAnsi="Times New Roman" w:cs="Times New Roman"/>
        </w:rPr>
        <w:t xml:space="preserve"> </w:t>
      </w:r>
      <w:r w:rsidRPr="00B57003">
        <w:rPr>
          <w:rFonts w:ascii="Times New Roman" w:eastAsia="Calibri" w:hAnsi="Times New Roman" w:cs="Times New Roman"/>
          <w:szCs w:val="24"/>
        </w:rPr>
        <w:t>[discharged] [failed to hire] [failed to promote] [demoted] [</w:t>
      </w:r>
      <w:r w:rsidRPr="00B57003">
        <w:rPr>
          <w:rFonts w:ascii="Times New Roman" w:eastAsia="Calibri" w:hAnsi="Times New Roman" w:cs="Times New Roman"/>
          <w:i/>
          <w:iCs/>
          <w:szCs w:val="24"/>
        </w:rPr>
        <w:t>state other adverse action</w:t>
      </w:r>
      <w:r w:rsidRPr="00B57003">
        <w:rPr>
          <w:rFonts w:ascii="Times New Roman" w:eastAsia="Calibri" w:hAnsi="Times New Roman" w:cs="Times New Roman"/>
          <w:szCs w:val="24"/>
        </w:rPr>
        <w:t xml:space="preserve">] the plaintiff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hAnsi="Times New Roman" w:cs="Times New Roman"/>
        </w:rPr>
        <w:t xml:space="preserve"> </w:t>
      </w:r>
      <w:r w:rsidRPr="00B57003">
        <w:rPr>
          <w:rFonts w:ascii="Times New Roman" w:eastAsia="Calibri" w:hAnsi="Times New Roman" w:cs="Times New Roman"/>
          <w:szCs w:val="24"/>
        </w:rPr>
        <w:t xml:space="preserve">because of the plaintiff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eastAsia="Calibri" w:hAnsi="Times New Roman" w:cs="Times New Roman"/>
          <w:szCs w:val="24"/>
        </w:rPr>
        <w:t xml:space="preserve">’s [race] [color] [religion] [sex] [national origin] [.] [;] </w:t>
      </w:r>
    </w:p>
    <w:p w14:paraId="54C656D6" w14:textId="77777777" w:rsidR="00B57003" w:rsidRPr="00B57003" w:rsidRDefault="00B57003" w:rsidP="00B57003">
      <w:pPr>
        <w:widowControl w:val="0"/>
        <w:rPr>
          <w:rFonts w:ascii="Times New Roman" w:eastAsia="Calibri" w:hAnsi="Times New Roman" w:cs="Times New Roman"/>
          <w:szCs w:val="24"/>
        </w:rPr>
      </w:pPr>
    </w:p>
    <w:p w14:paraId="57FE44C7" w14:textId="77777777" w:rsidR="00B57003" w:rsidRPr="00B57003" w:rsidRDefault="00B57003" w:rsidP="00B57003">
      <w:pPr>
        <w:widowControl w:val="0"/>
        <w:ind w:firstLine="720"/>
        <w:rPr>
          <w:rFonts w:ascii="Times New Roman" w:eastAsia="Calibri" w:hAnsi="Times New Roman" w:cs="Times New Roman"/>
          <w:szCs w:val="24"/>
        </w:rPr>
      </w:pPr>
      <w:r w:rsidRPr="00B57003">
        <w:rPr>
          <w:rFonts w:ascii="Times New Roman" w:eastAsia="Calibri" w:hAnsi="Times New Roman" w:cs="Times New Roman"/>
          <w:szCs w:val="24"/>
        </w:rPr>
        <w:t xml:space="preserve">[Third, the plaintiff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hAnsi="Times New Roman" w:cs="Times New Roman"/>
        </w:rPr>
        <w:t xml:space="preserve"> </w:t>
      </w:r>
      <w:r w:rsidRPr="00B57003">
        <w:rPr>
          <w:rFonts w:ascii="Times New Roman" w:eastAsia="Calibri" w:hAnsi="Times New Roman" w:cs="Times New Roman"/>
          <w:szCs w:val="24"/>
        </w:rPr>
        <w:t xml:space="preserve">was qualified for [his] [her] </w:t>
      </w:r>
      <w:r w:rsidRPr="00B57003">
        <w:rPr>
          <w:rFonts w:ascii="Times New Roman" w:hAnsi="Times New Roman" w:cs="Times New Roman"/>
          <w:szCs w:val="24"/>
        </w:rPr>
        <w:t>[</w:t>
      </w:r>
      <w:r w:rsidRPr="00B57003">
        <w:rPr>
          <w:rFonts w:ascii="Times New Roman" w:hAnsi="Times New Roman" w:cs="Times New Roman"/>
          <w:i/>
          <w:iCs/>
          <w:szCs w:val="24"/>
          <w:u w:val="single"/>
        </w:rPr>
        <w:t>other pronoun</w:t>
      </w:r>
      <w:r w:rsidRPr="00B57003">
        <w:rPr>
          <w:rFonts w:ascii="Times New Roman" w:hAnsi="Times New Roman" w:cs="Times New Roman"/>
          <w:szCs w:val="24"/>
        </w:rPr>
        <w:t>]</w:t>
      </w:r>
      <w:r w:rsidRPr="00B57003">
        <w:rPr>
          <w:rFonts w:ascii="Times New Roman" w:eastAsia="Calibri" w:hAnsi="Times New Roman" w:cs="Times New Roman"/>
          <w:szCs w:val="24"/>
        </w:rPr>
        <w:t xml:space="preserve"> position [.] [;] [and] </w:t>
      </w:r>
    </w:p>
    <w:p w14:paraId="50A17BDB" w14:textId="77777777" w:rsidR="00B57003" w:rsidRPr="00B57003" w:rsidRDefault="00B57003" w:rsidP="00B57003">
      <w:pPr>
        <w:widowControl w:val="0"/>
        <w:rPr>
          <w:rFonts w:ascii="Times New Roman" w:eastAsia="Calibri" w:hAnsi="Times New Roman" w:cs="Times New Roman"/>
          <w:szCs w:val="24"/>
        </w:rPr>
      </w:pPr>
    </w:p>
    <w:p w14:paraId="5E195A2C" w14:textId="77777777" w:rsidR="00B57003" w:rsidRPr="00B57003" w:rsidRDefault="00B57003" w:rsidP="00B57003">
      <w:pPr>
        <w:widowControl w:val="0"/>
        <w:ind w:firstLine="720"/>
        <w:rPr>
          <w:rFonts w:ascii="Times New Roman" w:eastAsia="Calibri" w:hAnsi="Times New Roman" w:cs="Times New Roman"/>
          <w:szCs w:val="24"/>
        </w:rPr>
      </w:pPr>
      <w:r w:rsidRPr="00B57003">
        <w:rPr>
          <w:rFonts w:ascii="Times New Roman" w:eastAsia="Calibri" w:hAnsi="Times New Roman" w:cs="Times New Roman"/>
          <w:szCs w:val="24"/>
        </w:rPr>
        <w:t xml:space="preserve">[Fourth, similarly situated individuals outside the plaintiff </w:t>
      </w:r>
      <w:r w:rsidRPr="00B57003">
        <w:rPr>
          <w:rFonts w:ascii="Times New Roman" w:hAnsi="Times New Roman" w:cs="Times New Roman"/>
          <w:szCs w:val="24"/>
        </w:rPr>
        <w:t>[</w:t>
      </w:r>
      <w:r w:rsidRPr="00B57003">
        <w:rPr>
          <w:rFonts w:ascii="Times New Roman" w:hAnsi="Times New Roman" w:cs="Times New Roman"/>
          <w:i/>
          <w:iCs/>
          <w:szCs w:val="24"/>
          <w:u w:val="single"/>
        </w:rPr>
        <w:t>name</w:t>
      </w:r>
      <w:r w:rsidRPr="00B57003">
        <w:rPr>
          <w:rFonts w:ascii="Times New Roman" w:hAnsi="Times New Roman" w:cs="Times New Roman"/>
          <w:szCs w:val="24"/>
        </w:rPr>
        <w:t>]</w:t>
      </w:r>
      <w:r w:rsidRPr="00B57003">
        <w:rPr>
          <w:rFonts w:ascii="Times New Roman" w:eastAsia="Calibri" w:hAnsi="Times New Roman" w:cs="Times New Roman"/>
          <w:szCs w:val="24"/>
        </w:rPr>
        <w:t xml:space="preserve">’s [race] [color] [religion] [sex] [national origin] were treated more favorably.] </w:t>
      </w:r>
    </w:p>
    <w:p w14:paraId="0DA52D1E" w14:textId="77777777" w:rsidR="00B57003" w:rsidRPr="00B57003" w:rsidRDefault="00B57003" w:rsidP="00B57003">
      <w:pPr>
        <w:widowControl w:val="0"/>
        <w:ind w:firstLine="720"/>
        <w:rPr>
          <w:rFonts w:ascii="Times New Roman" w:eastAsia="Calibri" w:hAnsi="Times New Roman" w:cs="Times New Roman"/>
          <w:szCs w:val="24"/>
        </w:rPr>
      </w:pPr>
    </w:p>
    <w:p w14:paraId="14C0974A" w14:textId="77777777" w:rsidR="00B57003" w:rsidRPr="00B57003" w:rsidRDefault="00B57003" w:rsidP="00B57003">
      <w:pPr>
        <w:pStyle w:val="Default"/>
        <w:ind w:firstLine="720"/>
        <w:rPr>
          <w:color w:val="auto"/>
        </w:rPr>
      </w:pPr>
      <w:r w:rsidRPr="00B57003">
        <w:rPr>
          <w:color w:val="auto"/>
        </w:rPr>
        <w:t xml:space="preserve">If the plaintiff </w:t>
      </w:r>
      <w:r w:rsidRPr="00B57003">
        <w:t>[</w:t>
      </w:r>
      <w:r w:rsidRPr="00B57003">
        <w:rPr>
          <w:i/>
          <w:iCs/>
          <w:u w:val="single"/>
        </w:rPr>
        <w:t>name</w:t>
      </w:r>
      <w:r w:rsidRPr="00B57003">
        <w:t xml:space="preserve">] </w:t>
      </w:r>
      <w:r w:rsidRPr="00B57003">
        <w:rPr>
          <w:color w:val="auto"/>
        </w:rPr>
        <w:t xml:space="preserve">has proven each of these elements by a preponderance of the evidence, the plaintiff </w:t>
      </w:r>
      <w:r w:rsidRPr="00B57003">
        <w:t>[</w:t>
      </w:r>
      <w:r w:rsidRPr="00B57003">
        <w:rPr>
          <w:i/>
          <w:iCs/>
          <w:u w:val="single"/>
        </w:rPr>
        <w:t>name</w:t>
      </w:r>
      <w:r w:rsidRPr="00B57003">
        <w:t xml:space="preserve">] </w:t>
      </w:r>
      <w:r w:rsidRPr="00B57003">
        <w:rPr>
          <w:color w:val="auto"/>
        </w:rPr>
        <w:t>is entitled to your verdict.</w:t>
      </w:r>
    </w:p>
    <w:p w14:paraId="3B78BEFC" w14:textId="77777777" w:rsidR="00B57003" w:rsidRPr="00B57003" w:rsidRDefault="00B57003" w:rsidP="00B57003">
      <w:pPr>
        <w:pStyle w:val="Default"/>
        <w:ind w:firstLine="720"/>
        <w:rPr>
          <w:color w:val="auto"/>
        </w:rPr>
      </w:pPr>
      <w:r w:rsidRPr="00B57003">
        <w:rPr>
          <w:color w:val="auto"/>
        </w:rPr>
        <w:t xml:space="preserve"> </w:t>
      </w:r>
    </w:p>
    <w:p w14:paraId="22439FDE" w14:textId="77777777" w:rsidR="00B57003" w:rsidRPr="00B57003" w:rsidRDefault="00B57003" w:rsidP="00B57003">
      <w:pPr>
        <w:pStyle w:val="Default"/>
        <w:jc w:val="center"/>
        <w:rPr>
          <w:b/>
          <w:bCs/>
          <w:color w:val="auto"/>
        </w:rPr>
      </w:pPr>
      <w:r w:rsidRPr="00B57003">
        <w:rPr>
          <w:b/>
          <w:bCs/>
          <w:color w:val="auto"/>
        </w:rPr>
        <w:t>Comment</w:t>
      </w:r>
    </w:p>
    <w:p w14:paraId="1758C4B8" w14:textId="77777777" w:rsidR="00B57003" w:rsidRPr="00B57003" w:rsidRDefault="00B57003" w:rsidP="00B57003">
      <w:pPr>
        <w:autoSpaceDE w:val="0"/>
        <w:autoSpaceDN w:val="0"/>
        <w:adjustRightInd w:val="0"/>
        <w:rPr>
          <w:rFonts w:ascii="Times New Roman" w:hAnsi="Times New Roman" w:cs="Times New Roman"/>
          <w:szCs w:val="24"/>
        </w:rPr>
      </w:pPr>
    </w:p>
    <w:p w14:paraId="437F7BBE" w14:textId="77777777" w:rsidR="00B57003" w:rsidRPr="00B57003" w:rsidRDefault="00B57003" w:rsidP="00B57003">
      <w:pPr>
        <w:widowControl w:val="0"/>
        <w:ind w:firstLine="720"/>
        <w:rPr>
          <w:rFonts w:ascii="Times New Roman" w:eastAsia="Calibri" w:hAnsi="Times New Roman" w:cs="Times New Roman"/>
          <w:i/>
          <w:iCs/>
          <w:szCs w:val="24"/>
        </w:rPr>
      </w:pPr>
      <w:r w:rsidRPr="00B57003">
        <w:rPr>
          <w:rFonts w:ascii="Times New Roman" w:hAnsi="Times New Roman"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B57003">
        <w:rPr>
          <w:rFonts w:ascii="Times New Roman" w:hAnsi="Times New Roman" w:cs="Times New Roman"/>
          <w:i/>
          <w:iCs/>
          <w:szCs w:val="24"/>
        </w:rPr>
        <w:t xml:space="preserve">Berry v. </w:t>
      </w:r>
      <w:proofErr w:type="spellStart"/>
      <w:r w:rsidRPr="00B57003">
        <w:rPr>
          <w:rFonts w:ascii="Times New Roman" w:hAnsi="Times New Roman" w:cs="Times New Roman"/>
          <w:i/>
          <w:iCs/>
          <w:szCs w:val="24"/>
        </w:rPr>
        <w:t>Dep't</w:t>
      </w:r>
      <w:proofErr w:type="spellEnd"/>
      <w:r w:rsidRPr="00B57003">
        <w:rPr>
          <w:rFonts w:ascii="Times New Roman" w:hAnsi="Times New Roman" w:cs="Times New Roman"/>
          <w:i/>
          <w:iCs/>
          <w:szCs w:val="24"/>
        </w:rPr>
        <w:t xml:space="preserve"> of Soc. Servs</w:t>
      </w:r>
      <w:r w:rsidRPr="00B57003">
        <w:rPr>
          <w:rFonts w:ascii="Times New Roman" w:hAnsi="Times New Roman" w:cs="Times New Roman"/>
          <w:szCs w:val="24"/>
        </w:rPr>
        <w:t xml:space="preserve">., 447 F.3d 642, 656 (9th Cir. 2006).  If it is disputed that plaintiff is qualified for position and that similarly situated individuals outside of plaintiff’s protected class were treated more favorably, add the bracketed elements. “Other employees are similarly situated to the plaintiff when they have similar jobs and display similar conduct.” </w:t>
      </w:r>
      <w:r w:rsidRPr="00B57003">
        <w:rPr>
          <w:rFonts w:ascii="Times New Roman" w:hAnsi="Times New Roman" w:cs="Times New Roman"/>
          <w:i/>
          <w:iCs/>
          <w:szCs w:val="24"/>
        </w:rPr>
        <w:t>Id</w:t>
      </w:r>
      <w:r w:rsidRPr="00B57003">
        <w:rPr>
          <w:rFonts w:ascii="Times New Roman" w:hAnsi="Times New Roman" w:cs="Times New Roman"/>
          <w:szCs w:val="24"/>
        </w:rPr>
        <w:t xml:space="preserve">. (quoting </w:t>
      </w:r>
      <w:r w:rsidRPr="00B57003">
        <w:rPr>
          <w:rFonts w:ascii="Times New Roman" w:hAnsi="Times New Roman" w:cs="Times New Roman"/>
          <w:i/>
          <w:iCs/>
          <w:szCs w:val="24"/>
        </w:rPr>
        <w:t xml:space="preserve">Earl v. Nielsen Media </w:t>
      </w:r>
      <w:proofErr w:type="spellStart"/>
      <w:r w:rsidRPr="00B57003">
        <w:rPr>
          <w:rFonts w:ascii="Times New Roman" w:hAnsi="Times New Roman" w:cs="Times New Roman"/>
          <w:i/>
          <w:iCs/>
          <w:szCs w:val="24"/>
        </w:rPr>
        <w:t>Rsch</w:t>
      </w:r>
      <w:proofErr w:type="spellEnd"/>
      <w:r w:rsidRPr="00B57003">
        <w:rPr>
          <w:rFonts w:ascii="Times New Roman" w:hAnsi="Times New Roman" w:cs="Times New Roman"/>
          <w:i/>
          <w:iCs/>
          <w:szCs w:val="24"/>
        </w:rPr>
        <w:t>., Inc</w:t>
      </w:r>
      <w:r w:rsidRPr="00B57003">
        <w:rPr>
          <w:rFonts w:ascii="Times New Roman" w:hAnsi="Times New Roman" w:cs="Times New Roman"/>
          <w:szCs w:val="24"/>
        </w:rPr>
        <w:t xml:space="preserve">., 658 F.3d 1108, 1114 (9th Cir. 2011) (internal quotation marks omitted)).  </w:t>
      </w:r>
      <w:r w:rsidRPr="00B57003">
        <w:rPr>
          <w:rFonts w:ascii="Times New Roman" w:eastAsia="Calibri" w:hAnsi="Times New Roman" w:cs="Times New Roman"/>
          <w:szCs w:val="24"/>
        </w:rPr>
        <w:t xml:space="preserve">For detailed discussions of disparate treatment claims arising under the Fair Housing Act, </w:t>
      </w:r>
      <w:r w:rsidRPr="00B57003">
        <w:rPr>
          <w:rFonts w:ascii="Times New Roman" w:eastAsia="Calibri" w:hAnsi="Times New Roman" w:cs="Times New Roman"/>
          <w:i/>
          <w:iCs/>
          <w:szCs w:val="24"/>
        </w:rPr>
        <w:t>see Ohio House, LLC v. City of Costa Mesa</w:t>
      </w:r>
      <w:r w:rsidRPr="00B57003">
        <w:rPr>
          <w:rFonts w:ascii="Times New Roman" w:eastAsia="Calibri" w:hAnsi="Times New Roman" w:cs="Times New Roman"/>
          <w:szCs w:val="24"/>
        </w:rPr>
        <w:t>, 135 F.4th 645, 661-66 (9th Cir. 2025) and</w:t>
      </w:r>
      <w:r w:rsidRPr="00B57003">
        <w:rPr>
          <w:rFonts w:ascii="Times New Roman" w:eastAsia="Calibri" w:hAnsi="Times New Roman" w:cs="Times New Roman"/>
          <w:i/>
          <w:iCs/>
          <w:szCs w:val="24"/>
        </w:rPr>
        <w:t xml:space="preserve"> Community House, Inc. v. City of Boise</w:t>
      </w:r>
      <w:r w:rsidRPr="00B57003">
        <w:rPr>
          <w:rFonts w:ascii="Times New Roman" w:eastAsia="Calibri" w:hAnsi="Times New Roman" w:cs="Times New Roman"/>
          <w:szCs w:val="24"/>
        </w:rPr>
        <w:t>, 490 F.3d 1041, 1048-53 (9th Cir. 2007).</w:t>
      </w:r>
    </w:p>
    <w:p w14:paraId="0CBB0B02" w14:textId="77777777" w:rsidR="00B57003" w:rsidRPr="004746BB" w:rsidRDefault="00B57003" w:rsidP="00B57003">
      <w:pPr>
        <w:pStyle w:val="Default"/>
        <w:ind w:firstLine="720"/>
        <w:rPr>
          <w:color w:val="auto"/>
        </w:rPr>
      </w:pPr>
    </w:p>
    <w:p w14:paraId="7EA1FD2D" w14:textId="77777777" w:rsidR="00B57003" w:rsidRPr="004746BB" w:rsidRDefault="00B57003" w:rsidP="00B57003">
      <w:pPr>
        <w:pStyle w:val="Default"/>
        <w:ind w:firstLine="720"/>
        <w:rPr>
          <w:color w:val="auto"/>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682-83 (2020) (holding employer violates Title VII by firing individual based on sexual orientation or gender identity). “Paramour </w:t>
      </w:r>
      <w:r w:rsidRPr="004746BB">
        <w:rPr>
          <w:color w:val="auto"/>
        </w:rPr>
        <w:lastRenderedPageBreak/>
        <w:t xml:space="preserve">preference,” however, does not constitute discrimination on the basis of sex. </w:t>
      </w:r>
      <w:r w:rsidRPr="004746BB">
        <w:rPr>
          <w:i/>
          <w:iCs/>
          <w:color w:val="auto"/>
        </w:rPr>
        <w:t>Maner v. Dignity Health</w:t>
      </w:r>
      <w:r w:rsidRPr="004746BB">
        <w:rPr>
          <w:color w:val="auto"/>
        </w:rPr>
        <w:t xml:space="preserve">, 9 F.4th 1114, 1116 (9th Cir. 2021). </w:t>
      </w:r>
    </w:p>
    <w:p w14:paraId="277AA30E" w14:textId="77777777" w:rsidR="00B57003" w:rsidRPr="004746BB" w:rsidRDefault="00B57003" w:rsidP="00B57003">
      <w:pPr>
        <w:pStyle w:val="Default"/>
        <w:ind w:firstLine="720"/>
        <w:rPr>
          <w:color w:val="auto"/>
        </w:rPr>
      </w:pPr>
    </w:p>
    <w:p w14:paraId="614262BE" w14:textId="26CE25BB" w:rsidR="005D657B" w:rsidRPr="00B57003" w:rsidRDefault="00B57003" w:rsidP="00B57003">
      <w:pPr>
        <w:spacing w:after="0" w:line="240" w:lineRule="auto"/>
        <w:ind w:firstLine="720"/>
        <w:rPr>
          <w:rFonts w:ascii="Times New Roman" w:hAnsi="Times New Roman" w:cs="Times New Roman"/>
          <w:sz w:val="24"/>
          <w:szCs w:val="24"/>
        </w:rPr>
      </w:pPr>
      <w:r w:rsidRPr="00B57003">
        <w:rPr>
          <w:rFonts w:ascii="Times New Roman" w:hAnsi="Times New Roman"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B57003">
        <w:rPr>
          <w:rFonts w:ascii="Times New Roman" w:hAnsi="Times New Roman" w:cs="Times New Roman"/>
          <w:i/>
          <w:iCs/>
          <w:szCs w:val="24"/>
        </w:rPr>
        <w:t>See</w:t>
      </w:r>
      <w:r w:rsidRPr="00B57003">
        <w:rPr>
          <w:rFonts w:ascii="Times New Roman" w:hAnsi="Times New Roman" w:cs="Times New Roman"/>
          <w:szCs w:val="24"/>
        </w:rPr>
        <w:t xml:space="preserve"> 42 U.S.C. § 2000e-5(g)(2)(B). Based on 42 U.S.C. § 2000e-2(m), there does not appear to be any reason to deny a plaintiff that option. If a plaintiff so elects, a model instruction on that point is found in 10.2.</w:t>
      </w:r>
    </w:p>
    <w:p w14:paraId="7A530EDF" w14:textId="5F6E78E5" w:rsidR="0016762A" w:rsidRPr="004746BB" w:rsidRDefault="0016762A" w:rsidP="0016762A">
      <w:pPr>
        <w:spacing w:after="0" w:line="240" w:lineRule="auto"/>
        <w:rPr>
          <w:rFonts w:ascii="Times New Roman" w:hAnsi="Times New Roman" w:cs="Times New Roman"/>
          <w:sz w:val="24"/>
          <w:szCs w:val="24"/>
        </w:rPr>
      </w:pPr>
    </w:p>
    <w:p w14:paraId="2C20DB02" w14:textId="037EB233" w:rsidR="0016762A" w:rsidRPr="004746BB" w:rsidRDefault="0016762A" w:rsidP="0016762A">
      <w:pPr>
        <w:spacing w:after="0" w:line="240" w:lineRule="auto"/>
        <w:rPr>
          <w:rFonts w:ascii="Times New Roman" w:hAnsi="Times New Roman" w:cs="Times New Roman"/>
          <w:sz w:val="24"/>
          <w:szCs w:val="24"/>
        </w:rPr>
      </w:pPr>
    </w:p>
    <w:p w14:paraId="2E86F32B" w14:textId="77777777" w:rsidR="0016762A" w:rsidRPr="004746BB" w:rsidRDefault="0016762A" w:rsidP="0016762A">
      <w:pPr>
        <w:spacing w:after="0" w:line="240" w:lineRule="auto"/>
        <w:rPr>
          <w:rFonts w:ascii="Times New Roman" w:hAnsi="Times New Roman" w:cs="Times New Roman"/>
          <w:sz w:val="24"/>
          <w:szCs w:val="24"/>
        </w:rPr>
      </w:pPr>
    </w:p>
    <w:p w14:paraId="7A7C2556" w14:textId="506A0105" w:rsidR="004636ED" w:rsidRPr="004746BB" w:rsidRDefault="004636ED" w:rsidP="004636ED">
      <w:pPr>
        <w:jc w:val="right"/>
        <w:rPr>
          <w:rFonts w:ascii="Times New Roman" w:hAnsi="Times New Roman" w:cs="Times New Roman"/>
          <w:i/>
          <w:iCs/>
          <w:sz w:val="24"/>
          <w:szCs w:val="24"/>
        </w:rPr>
      </w:pPr>
      <w:r w:rsidRPr="004746BB">
        <w:rPr>
          <w:rFonts w:ascii="Times New Roman" w:hAnsi="Times New Roman" w:cs="Times New Roman"/>
          <w:i/>
          <w:iCs/>
          <w:sz w:val="24"/>
          <w:szCs w:val="24"/>
        </w:rPr>
        <w:t xml:space="preserve">Revised </w:t>
      </w:r>
      <w:r w:rsidR="006343EA" w:rsidRPr="004746BB">
        <w:rPr>
          <w:rFonts w:ascii="Times New Roman" w:hAnsi="Times New Roman" w:cs="Times New Roman"/>
          <w:i/>
          <w:iCs/>
          <w:sz w:val="24"/>
          <w:szCs w:val="24"/>
        </w:rPr>
        <w:t>June</w:t>
      </w:r>
      <w:r w:rsidR="004746BB" w:rsidRPr="004746BB">
        <w:rPr>
          <w:rFonts w:ascii="Times New Roman" w:hAnsi="Times New Roman" w:cs="Times New Roman"/>
          <w:i/>
          <w:iCs/>
          <w:sz w:val="24"/>
          <w:szCs w:val="24"/>
        </w:rPr>
        <w:t xml:space="preserve"> </w:t>
      </w:r>
      <w:r w:rsidR="006343EA" w:rsidRPr="004746BB">
        <w:rPr>
          <w:rFonts w:ascii="Times New Roman" w:hAnsi="Times New Roman" w:cs="Times New Roman"/>
          <w:i/>
          <w:iCs/>
          <w:sz w:val="24"/>
          <w:szCs w:val="24"/>
        </w:rPr>
        <w:t>2025</w:t>
      </w:r>
    </w:p>
    <w:bookmarkEnd w:id="1"/>
    <w:p w14:paraId="5E8A8B99" w14:textId="77777777" w:rsidR="00FE7F82" w:rsidRPr="004746BB" w:rsidRDefault="00FE7F82">
      <w:pPr>
        <w:rPr>
          <w:sz w:val="24"/>
          <w:szCs w:val="24"/>
        </w:rPr>
      </w:pPr>
    </w:p>
    <w:sectPr w:rsidR="00FE7F82" w:rsidRPr="00474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7B"/>
    <w:rsid w:val="000562A8"/>
    <w:rsid w:val="0016762A"/>
    <w:rsid w:val="0033485D"/>
    <w:rsid w:val="004636ED"/>
    <w:rsid w:val="004746BB"/>
    <w:rsid w:val="004922F2"/>
    <w:rsid w:val="005A412D"/>
    <w:rsid w:val="005D657B"/>
    <w:rsid w:val="006343EA"/>
    <w:rsid w:val="00887257"/>
    <w:rsid w:val="009835D7"/>
    <w:rsid w:val="00A651CC"/>
    <w:rsid w:val="00B5430F"/>
    <w:rsid w:val="00B57003"/>
    <w:rsid w:val="00C67E51"/>
    <w:rsid w:val="00CA2CEF"/>
    <w:rsid w:val="00D56588"/>
    <w:rsid w:val="00EC1D76"/>
    <w:rsid w:val="00F02E51"/>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E41A"/>
  <w15:chartTrackingRefBased/>
  <w15:docId w15:val="{92815E01-C152-441E-A888-93D2ACB6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57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02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13</cp:revision>
  <dcterms:created xsi:type="dcterms:W3CDTF">2022-09-15T23:37:00Z</dcterms:created>
  <dcterms:modified xsi:type="dcterms:W3CDTF">2025-10-14T23:29:00Z</dcterms:modified>
</cp:coreProperties>
</file>