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E344" w14:textId="043CC9C9" w:rsidR="00163F3A" w:rsidRPr="006A4CD7" w:rsidRDefault="00163F3A" w:rsidP="00163F3A">
      <w:pPr>
        <w:pStyle w:val="Heading2"/>
      </w:pPr>
      <w:bookmarkStart w:id="0" w:name="_Toc65157343"/>
      <w:proofErr w:type="gramStart"/>
      <w:r w:rsidRPr="006A4CD7">
        <w:t xml:space="preserve">10.5  </w:t>
      </w:r>
      <w:r w:rsidR="000158AC" w:rsidRPr="006A4CD7">
        <w:t>Civil</w:t>
      </w:r>
      <w:proofErr w:type="gramEnd"/>
      <w:r w:rsidR="000158AC" w:rsidRPr="006A4CD7">
        <w:t xml:space="preserve"> Rights—Title VII—Hostile Work Environment—Harassment Because Of Protected Characteristics—Elements</w:t>
      </w:r>
      <w:bookmarkEnd w:id="0"/>
    </w:p>
    <w:p w14:paraId="13DC666C" w14:textId="77777777" w:rsidR="00163F3A" w:rsidRPr="006A4CD7" w:rsidRDefault="00163F3A" w:rsidP="00163F3A"/>
    <w:p w14:paraId="0951F1FD" w14:textId="77777777" w:rsidR="00163F3A" w:rsidRPr="006A4CD7" w:rsidRDefault="00163F3A" w:rsidP="00163F3A">
      <w:pPr>
        <w:autoSpaceDE w:val="0"/>
        <w:autoSpaceDN w:val="0"/>
        <w:adjustRightInd w:val="0"/>
        <w:rPr>
          <w:rFonts w:cs="Times New Roman"/>
          <w:szCs w:val="24"/>
        </w:rPr>
      </w:pPr>
      <w:r w:rsidRPr="006A4CD7">
        <w:rPr>
          <w:rFonts w:cs="Times New Roman"/>
          <w:szCs w:val="24"/>
        </w:rPr>
        <w:tab/>
        <w:t>The plaintiff seeks damages against the defendant for a [racially] [sexually] [</w:t>
      </w:r>
      <w:r w:rsidRPr="006A4CD7">
        <w:rPr>
          <w:rFonts w:cs="Times New Roman"/>
          <w:i/>
          <w:iCs/>
          <w:szCs w:val="24"/>
          <w:u w:val="single"/>
        </w:rPr>
        <w:t>other Title VII protected characteristic</w:t>
      </w:r>
      <w:r w:rsidRPr="006A4CD7">
        <w:rPr>
          <w:rFonts w:cs="Times New Roman"/>
          <w:szCs w:val="24"/>
        </w:rPr>
        <w:t>] hostile work environment while employed by the defendant.  In order to establish a [racially] [sexually] [</w:t>
      </w:r>
      <w:r w:rsidRPr="006A4CD7">
        <w:rPr>
          <w:rFonts w:cs="Times New Roman"/>
          <w:i/>
          <w:iCs/>
          <w:szCs w:val="24"/>
          <w:u w:val="single"/>
        </w:rPr>
        <w:t>other Title VII protected characteristic</w:t>
      </w:r>
      <w:r w:rsidRPr="006A4CD7">
        <w:rPr>
          <w:rFonts w:cs="Times New Roman"/>
          <w:szCs w:val="24"/>
        </w:rPr>
        <w:t>] hostile work environment, the plaintiff must prove each of the following elements by a preponderance of the evidence:</w:t>
      </w:r>
    </w:p>
    <w:p w14:paraId="27BD2598" w14:textId="77777777" w:rsidR="00163F3A" w:rsidRPr="006A4CD7" w:rsidRDefault="00163F3A" w:rsidP="00163F3A">
      <w:pPr>
        <w:autoSpaceDE w:val="0"/>
        <w:autoSpaceDN w:val="0"/>
        <w:adjustRightInd w:val="0"/>
        <w:rPr>
          <w:rFonts w:cs="Times New Roman"/>
          <w:szCs w:val="24"/>
        </w:rPr>
      </w:pPr>
    </w:p>
    <w:p w14:paraId="1E57F1EA" w14:textId="77777777" w:rsidR="00163F3A" w:rsidRPr="006A4CD7" w:rsidRDefault="00163F3A" w:rsidP="00163F3A">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[slurs, insults, jokes or other verbal comments or physical contact or intimidation of a racial nature] [sexual advances, requests for sexual conduct, or other verbal or physical conduct of a sexual nature] [</w:t>
      </w:r>
      <w:r w:rsidRPr="006A4CD7">
        <w:rPr>
          <w:rFonts w:cs="Times New Roman"/>
          <w:i/>
          <w:iCs/>
          <w:szCs w:val="24"/>
          <w:u w:val="single"/>
        </w:rPr>
        <w:t>conduct affecting other Title VII protected characteristics</w:t>
      </w:r>
      <w:proofErr w:type="gramStart"/>
      <w:r w:rsidRPr="006A4CD7">
        <w:rPr>
          <w:rFonts w:cs="Times New Roman"/>
          <w:szCs w:val="24"/>
        </w:rPr>
        <w:t>];</w:t>
      </w:r>
      <w:proofErr w:type="gramEnd"/>
      <w:r w:rsidRPr="006A4CD7">
        <w:rPr>
          <w:rFonts w:cs="Times New Roman"/>
          <w:szCs w:val="24"/>
        </w:rPr>
        <w:t xml:space="preserve"> </w:t>
      </w:r>
    </w:p>
    <w:p w14:paraId="2EE8729A" w14:textId="77777777" w:rsidR="00163F3A" w:rsidRPr="006A4CD7" w:rsidRDefault="00163F3A" w:rsidP="00163F3A">
      <w:pPr>
        <w:autoSpaceDE w:val="0"/>
        <w:autoSpaceDN w:val="0"/>
        <w:adjustRightInd w:val="0"/>
        <w:ind w:left="1440" w:hanging="720"/>
        <w:rPr>
          <w:rFonts w:cs="Times New Roman"/>
          <w:szCs w:val="24"/>
        </w:rPr>
      </w:pPr>
    </w:p>
    <w:p w14:paraId="26815A8F" w14:textId="77777777" w:rsidR="00163F3A" w:rsidRPr="006A4CD7" w:rsidRDefault="00163F3A" w:rsidP="00163F3A">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 xml:space="preserve">the conduct was </w:t>
      </w:r>
      <w:proofErr w:type="gramStart"/>
      <w:r w:rsidRPr="006A4CD7">
        <w:rPr>
          <w:rFonts w:cs="Times New Roman"/>
          <w:szCs w:val="24"/>
        </w:rPr>
        <w:t>unwelcome;</w:t>
      </w:r>
      <w:proofErr w:type="gramEnd"/>
    </w:p>
    <w:p w14:paraId="4B7BE6E8" w14:textId="77777777" w:rsidR="00163F3A" w:rsidRPr="006A4CD7" w:rsidRDefault="00163F3A" w:rsidP="00163F3A">
      <w:pPr>
        <w:autoSpaceDE w:val="0"/>
        <w:autoSpaceDN w:val="0"/>
        <w:adjustRightInd w:val="0"/>
        <w:ind w:left="1440" w:hanging="720"/>
        <w:rPr>
          <w:rFonts w:cs="Times New Roman"/>
          <w:szCs w:val="24"/>
        </w:rPr>
      </w:pPr>
    </w:p>
    <w:p w14:paraId="6B562CA4" w14:textId="77777777" w:rsidR="00163F3A" w:rsidRPr="006A4CD7" w:rsidRDefault="00163F3A" w:rsidP="00163F3A">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conduct was sufficiently severe or pervasive to alter the conditions of the plaintiff’s employment and create a [racially] [sexually] [</w:t>
      </w:r>
      <w:r w:rsidRPr="006A4CD7">
        <w:rPr>
          <w:rFonts w:cs="Times New Roman"/>
          <w:i/>
          <w:iCs/>
          <w:szCs w:val="24"/>
          <w:u w:val="single"/>
        </w:rPr>
        <w:t>other Title VII protected characteristic</w:t>
      </w:r>
      <w:r w:rsidRPr="006A4CD7">
        <w:rPr>
          <w:rFonts w:cs="Times New Roman"/>
          <w:szCs w:val="24"/>
        </w:rPr>
        <w:t xml:space="preserve">] abusive or hostile work </w:t>
      </w:r>
      <w:proofErr w:type="gramStart"/>
      <w:r w:rsidRPr="006A4CD7">
        <w:rPr>
          <w:rFonts w:cs="Times New Roman"/>
          <w:szCs w:val="24"/>
        </w:rPr>
        <w:t>environment;</w:t>
      </w:r>
      <w:proofErr w:type="gramEnd"/>
    </w:p>
    <w:p w14:paraId="63FB9207" w14:textId="77777777" w:rsidR="00163F3A" w:rsidRPr="006A4CD7" w:rsidRDefault="00163F3A" w:rsidP="00163F3A">
      <w:pPr>
        <w:autoSpaceDE w:val="0"/>
        <w:autoSpaceDN w:val="0"/>
        <w:adjustRightInd w:val="0"/>
        <w:ind w:left="1440" w:hanging="720"/>
        <w:rPr>
          <w:rFonts w:cs="Times New Roman"/>
          <w:szCs w:val="24"/>
        </w:rPr>
      </w:pPr>
    </w:p>
    <w:p w14:paraId="451DF986" w14:textId="77777777" w:rsidR="00163F3A" w:rsidRPr="006A4CD7" w:rsidRDefault="00163F3A" w:rsidP="00163F3A">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plaintiff perceived the working environment to be abusive or hostile; and</w:t>
      </w:r>
    </w:p>
    <w:p w14:paraId="29FA617F" w14:textId="77777777" w:rsidR="00163F3A" w:rsidRPr="006A4CD7" w:rsidRDefault="00163F3A" w:rsidP="00163F3A">
      <w:pPr>
        <w:autoSpaceDE w:val="0"/>
        <w:autoSpaceDN w:val="0"/>
        <w:adjustRightInd w:val="0"/>
        <w:ind w:left="1440" w:hanging="720"/>
        <w:rPr>
          <w:rFonts w:cs="Times New Roman"/>
          <w:szCs w:val="24"/>
        </w:rPr>
      </w:pPr>
    </w:p>
    <w:p w14:paraId="057B1A7C" w14:textId="65D826BE" w:rsidR="00163F3A" w:rsidRPr="006A4CD7" w:rsidRDefault="00163F3A" w:rsidP="00163F3A">
      <w:pPr>
        <w:autoSpaceDE w:val="0"/>
        <w:autoSpaceDN w:val="0"/>
        <w:adjustRightInd w:val="0"/>
        <w:ind w:left="1440" w:hanging="720"/>
        <w:rPr>
          <w:rFonts w:cs="Times New Roman"/>
          <w:szCs w:val="24"/>
        </w:rPr>
      </w:pPr>
      <w:r w:rsidRPr="006A4CD7">
        <w:rPr>
          <w:rFonts w:cs="Times New Roman"/>
          <w:szCs w:val="24"/>
        </w:rPr>
        <w:t xml:space="preserve">5.  </w:t>
      </w:r>
      <w:r w:rsidRPr="006A4CD7">
        <w:rPr>
          <w:rFonts w:cs="Times New Roman"/>
          <w:szCs w:val="24"/>
        </w:rPr>
        <w:tab/>
        <w:t xml:space="preserve">a reasonable </w:t>
      </w:r>
      <w:r w:rsidR="009C2A80" w:rsidRPr="009C2A80">
        <w:rPr>
          <w:rFonts w:cs="Times New Roman"/>
          <w:szCs w:val="24"/>
        </w:rPr>
        <w:t xml:space="preserve">person </w:t>
      </w:r>
      <w:r w:rsidR="009C2A80">
        <w:rPr>
          <w:rFonts w:cs="Times New Roman"/>
          <w:szCs w:val="24"/>
        </w:rPr>
        <w:t>[</w:t>
      </w:r>
      <w:r w:rsidR="009C2A80" w:rsidRPr="009C2A80">
        <w:rPr>
          <w:rFonts w:cs="Times New Roman"/>
          <w:szCs w:val="24"/>
        </w:rPr>
        <w:t xml:space="preserve">with the plaintiff’s protected </w:t>
      </w:r>
      <w:proofErr w:type="gramStart"/>
      <w:r w:rsidR="009C2A80" w:rsidRPr="009C2A80">
        <w:rPr>
          <w:rFonts w:cs="Times New Roman"/>
          <w:szCs w:val="24"/>
        </w:rPr>
        <w:t>characteristic</w:t>
      </w:r>
      <w:r w:rsidR="009C2A80">
        <w:rPr>
          <w:rFonts w:cs="Times New Roman"/>
          <w:szCs w:val="24"/>
        </w:rPr>
        <w:t>]</w:t>
      </w:r>
      <w:r w:rsidR="009C2A80" w:rsidRPr="009C2A80" w:rsidDel="009C2A80">
        <w:rPr>
          <w:rFonts w:cs="Times New Roman"/>
          <w:szCs w:val="24"/>
        </w:rPr>
        <w:t xml:space="preserve"> </w:t>
      </w:r>
      <w:r w:rsidRPr="006A4CD7">
        <w:rPr>
          <w:rFonts w:cs="Times New Roman"/>
          <w:szCs w:val="24"/>
        </w:rPr>
        <w:t xml:space="preserve"> in</w:t>
      </w:r>
      <w:proofErr w:type="gramEnd"/>
      <w:r w:rsidRPr="006A4CD7">
        <w:rPr>
          <w:rFonts w:cs="Times New Roman"/>
          <w:szCs w:val="24"/>
        </w:rPr>
        <w:t xml:space="preserve"> the plaintiff’s circumstances would consider the working environment to be abusive or hostile.</w:t>
      </w:r>
    </w:p>
    <w:p w14:paraId="5EB3B640" w14:textId="77777777" w:rsidR="00163F3A" w:rsidRPr="006A4CD7" w:rsidRDefault="00163F3A" w:rsidP="00163F3A">
      <w:pPr>
        <w:autoSpaceDE w:val="0"/>
        <w:autoSpaceDN w:val="0"/>
        <w:adjustRightInd w:val="0"/>
        <w:rPr>
          <w:rFonts w:cs="Times New Roman"/>
          <w:szCs w:val="24"/>
        </w:rPr>
      </w:pPr>
    </w:p>
    <w:p w14:paraId="2F639FB9" w14:textId="77777777" w:rsidR="00163F3A" w:rsidRPr="006A4CD7" w:rsidRDefault="00163F3A" w:rsidP="00163F3A">
      <w:pPr>
        <w:autoSpaceDE w:val="0"/>
        <w:autoSpaceDN w:val="0"/>
        <w:adjustRightInd w:val="0"/>
        <w:rPr>
          <w:rFonts w:cs="Times New Roman"/>
          <w:szCs w:val="24"/>
        </w:rPr>
      </w:pPr>
      <w:r w:rsidRPr="006A4CD7">
        <w:rPr>
          <w:rFonts w:cs="Times New Roman"/>
          <w:szCs w:val="24"/>
        </w:rPr>
        <w:tab/>
        <w:t>Whether the environment constituted a [racially] [sexually] [</w:t>
      </w:r>
      <w:r w:rsidRPr="006A4CD7">
        <w:rPr>
          <w:rFonts w:cs="Times New Roman"/>
          <w:i/>
          <w:iCs/>
          <w:szCs w:val="24"/>
          <w:u w:val="single"/>
        </w:rPr>
        <w:t>other Title VII protected characteristic</w:t>
      </w:r>
      <w:r w:rsidRPr="006A4CD7">
        <w:rPr>
          <w:rFonts w:cs="Times New Roman"/>
          <w:szCs w:val="24"/>
        </w:rPr>
        <w:t>] hostile work environment is determined by looking at the totality of the circumstances, including the frequency of the harassing conduct, the severity of the conduct, whether the conduct was physically threatening or humiliating or a mere offensive utterance, and whether it unreasonably interfered with an employee’s work performance.</w:t>
      </w:r>
    </w:p>
    <w:p w14:paraId="1BF35A52" w14:textId="77777777" w:rsidR="00163F3A" w:rsidRPr="006A4CD7" w:rsidRDefault="00163F3A" w:rsidP="00163F3A"/>
    <w:p w14:paraId="61DCB4A8" w14:textId="77777777" w:rsidR="00163F3A" w:rsidRPr="006A4CD7" w:rsidRDefault="00163F3A" w:rsidP="00163F3A">
      <w:pPr>
        <w:autoSpaceDE w:val="0"/>
        <w:autoSpaceDN w:val="0"/>
        <w:adjustRightInd w:val="0"/>
        <w:jc w:val="center"/>
        <w:rPr>
          <w:rFonts w:cs="Times New Roman"/>
          <w:szCs w:val="24"/>
        </w:rPr>
      </w:pPr>
      <w:r w:rsidRPr="006A4CD7">
        <w:rPr>
          <w:rFonts w:cs="Times New Roman"/>
          <w:b/>
          <w:bCs/>
          <w:szCs w:val="24"/>
        </w:rPr>
        <w:t>Comment</w:t>
      </w:r>
    </w:p>
    <w:p w14:paraId="6B0B8C10" w14:textId="77777777" w:rsidR="00163F3A" w:rsidRPr="006A4CD7" w:rsidRDefault="00163F3A" w:rsidP="00163F3A"/>
    <w:p w14:paraId="35092565" w14:textId="77777777" w:rsidR="00163F3A" w:rsidRPr="006A4CD7" w:rsidRDefault="00163F3A" w:rsidP="00163F3A">
      <w:pPr>
        <w:autoSpaceDE w:val="0"/>
        <w:autoSpaceDN w:val="0"/>
        <w:adjustRightInd w:val="0"/>
        <w:rPr>
          <w:rFonts w:cs="Times New Roman"/>
          <w:szCs w:val="24"/>
        </w:rPr>
      </w:pPr>
      <w:r w:rsidRPr="006A4CD7">
        <w:rPr>
          <w:rFonts w:cs="Times New Roman"/>
          <w:szCs w:val="24"/>
        </w:rPr>
        <w:tab/>
        <w:t xml:space="preserve">The elements of this instruction are derived from </w:t>
      </w:r>
      <w:r w:rsidRPr="006A4CD7">
        <w:rPr>
          <w:rFonts w:cs="Times New Roman"/>
          <w:i/>
          <w:iCs/>
          <w:szCs w:val="24"/>
        </w:rPr>
        <w:t>Fuller v. City of Oakland, California</w:t>
      </w:r>
      <w:r w:rsidRPr="006A4CD7">
        <w:rPr>
          <w:rFonts w:cs="Times New Roman"/>
          <w:szCs w:val="24"/>
        </w:rPr>
        <w:t xml:space="preserve">, 47 F.3d 1522, 1527 (9th Cir. 1995).  The language in the instruction regarding the factors used to determine whether a working environment was sufficiently hostile or abusive is derived from </w:t>
      </w:r>
      <w:r w:rsidRPr="006A4CD7">
        <w:rPr>
          <w:rFonts w:cs="Times New Roman"/>
          <w:i/>
          <w:iCs/>
          <w:szCs w:val="24"/>
        </w:rPr>
        <w:t>Harris v. Forklift Systems, Inc.</w:t>
      </w:r>
      <w:r w:rsidRPr="006A4CD7">
        <w:rPr>
          <w:rFonts w:cs="Times New Roman"/>
          <w:szCs w:val="24"/>
        </w:rPr>
        <w:t xml:space="preserve">, 510 U.S. 17, 23 (1993).  </w:t>
      </w:r>
    </w:p>
    <w:p w14:paraId="3AEC569A" w14:textId="77777777" w:rsidR="00163F3A" w:rsidRPr="006A4CD7" w:rsidRDefault="00163F3A" w:rsidP="00163F3A">
      <w:pPr>
        <w:autoSpaceDE w:val="0"/>
        <w:autoSpaceDN w:val="0"/>
        <w:adjustRightInd w:val="0"/>
        <w:rPr>
          <w:rFonts w:cs="Times New Roman"/>
          <w:szCs w:val="24"/>
        </w:rPr>
      </w:pPr>
    </w:p>
    <w:p w14:paraId="17C333A8" w14:textId="77777777" w:rsidR="00163F3A" w:rsidRPr="006A4CD7" w:rsidRDefault="00163F3A" w:rsidP="00163F3A">
      <w:pPr>
        <w:autoSpaceDE w:val="0"/>
        <w:autoSpaceDN w:val="0"/>
        <w:adjustRightInd w:val="0"/>
        <w:rPr>
          <w:rFonts w:cs="Times New Roman"/>
          <w:szCs w:val="24"/>
        </w:rPr>
      </w:pPr>
      <w:r w:rsidRPr="006A4CD7">
        <w:rPr>
          <w:rFonts w:cs="Times New Roman"/>
          <w:szCs w:val="24"/>
        </w:rPr>
        <w:tab/>
        <w:t>This instruction should be given in conjunction with other appropriate instructions, including Instructions 10.6 (Civil Rights—Title VII—Hostile Work Environment Caused by Supervisor—Claim Based on Vicarious Liability—Tangible Employment Action—Affirmative Defense); 10.7 (Civil Rights—Title VII—Hostile Work Environment Caused by Non-Immediate Supervisor or by Co-Worker—Claim Based On Negligence); and, if necessary, 10.12 (Civil Rights—Title VII—“Tangible Employment Action” Defined).</w:t>
      </w:r>
    </w:p>
    <w:p w14:paraId="36A1621D" w14:textId="77777777" w:rsidR="00163F3A" w:rsidRPr="006A4CD7" w:rsidRDefault="00163F3A" w:rsidP="00163F3A">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683DC135" w14:textId="77777777" w:rsidR="00163F3A" w:rsidRPr="006A4CD7" w:rsidRDefault="00163F3A" w:rsidP="00163F3A">
      <w:pPr>
        <w:autoSpaceDE w:val="0"/>
        <w:autoSpaceDN w:val="0"/>
        <w:adjustRightInd w:val="0"/>
        <w:rPr>
          <w:rFonts w:cs="Times New Roman"/>
          <w:szCs w:val="24"/>
        </w:rPr>
      </w:pPr>
    </w:p>
    <w:p w14:paraId="242A03D2" w14:textId="620C2016" w:rsidR="00163F3A" w:rsidRDefault="00163F3A" w:rsidP="00163F3A">
      <w:pPr>
        <w:autoSpaceDE w:val="0"/>
        <w:autoSpaceDN w:val="0"/>
        <w:adjustRightInd w:val="0"/>
        <w:rPr>
          <w:rFonts w:cs="Times New Roman"/>
          <w:szCs w:val="24"/>
        </w:rPr>
      </w:pPr>
      <w:r w:rsidRPr="006A4CD7">
        <w:rPr>
          <w:rFonts w:cs="Times New Roman"/>
          <w:szCs w:val="24"/>
        </w:rPr>
        <w:tab/>
        <w:t xml:space="preserve">“A plaintiff must show that the work environment was both subjectively and objectively hostile.”  </w:t>
      </w:r>
      <w:proofErr w:type="spellStart"/>
      <w:r w:rsidRPr="006A4CD7">
        <w:rPr>
          <w:rFonts w:cs="Times New Roman"/>
          <w:i/>
          <w:iCs/>
          <w:szCs w:val="24"/>
        </w:rPr>
        <w:t>McGinest</w:t>
      </w:r>
      <w:proofErr w:type="spellEnd"/>
      <w:r w:rsidRPr="006A4CD7">
        <w:rPr>
          <w:rFonts w:cs="Times New Roman"/>
          <w:i/>
          <w:iCs/>
          <w:szCs w:val="24"/>
        </w:rPr>
        <w:t xml:space="preserve"> v. GTE Service Corp.</w:t>
      </w:r>
      <w:r w:rsidRPr="006A4CD7">
        <w:rPr>
          <w:rFonts w:cs="Times New Roman"/>
          <w:szCs w:val="24"/>
        </w:rPr>
        <w:t xml:space="preserve">, 360 F.3d 1103, 1113 (9th Cir. 2004); </w:t>
      </w:r>
      <w:r w:rsidRPr="006A4CD7">
        <w:rPr>
          <w:rFonts w:cs="Times New Roman"/>
          <w:i/>
          <w:iCs/>
          <w:szCs w:val="24"/>
        </w:rPr>
        <w:t>see also Fuller</w:t>
      </w:r>
      <w:r w:rsidRPr="006A4CD7">
        <w:rPr>
          <w:rFonts w:cs="Times New Roman"/>
          <w:szCs w:val="24"/>
        </w:rPr>
        <w:t xml:space="preserve">, 47 F.3d at 1527 (citing </w:t>
      </w:r>
      <w:r w:rsidRPr="006A4CD7">
        <w:rPr>
          <w:rFonts w:cs="Times New Roman"/>
          <w:i/>
          <w:iCs/>
          <w:szCs w:val="24"/>
        </w:rPr>
        <w:t>Harris</w:t>
      </w:r>
      <w:r w:rsidRPr="006A4CD7">
        <w:rPr>
          <w:rFonts w:cs="Times New Roman"/>
          <w:szCs w:val="24"/>
        </w:rPr>
        <w:t xml:space="preserve">, 510 U.S. at 21-22).  For the objective element, the Ninth Circuit has adopted the “reasonable victim” standard.  </w:t>
      </w:r>
      <w:r w:rsidRPr="006A4CD7">
        <w:rPr>
          <w:rFonts w:cs="Times New Roman"/>
          <w:i/>
          <w:iCs/>
          <w:szCs w:val="24"/>
        </w:rPr>
        <w:t>Ellison v. Brady</w:t>
      </w:r>
      <w:r w:rsidRPr="006A4CD7">
        <w:rPr>
          <w:rFonts w:cs="Times New Roman"/>
          <w:szCs w:val="24"/>
        </w:rPr>
        <w:t xml:space="preserve">, 924 F.2d 872, 878-80 (9th Cir. 1991).  Therefore, if the plaintiff/victim is a woman, element five of the instruction should state “reasonable woman,” and if the plaintiff/victim is a man, “reasonable man.”  </w:t>
      </w:r>
      <w:r w:rsidRPr="006A4CD7">
        <w:rPr>
          <w:rFonts w:cs="Times New Roman"/>
          <w:i/>
          <w:iCs/>
          <w:szCs w:val="24"/>
        </w:rPr>
        <w:t>Ellison</w:t>
      </w:r>
      <w:r w:rsidRPr="006A4CD7">
        <w:rPr>
          <w:rFonts w:cs="Times New Roman"/>
          <w:szCs w:val="24"/>
        </w:rPr>
        <w:t xml:space="preserve">, 924 F.2d at 879, n.11; </w:t>
      </w:r>
      <w:r w:rsidRPr="006A4CD7">
        <w:rPr>
          <w:rFonts w:cs="Times New Roman"/>
          <w:i/>
          <w:iCs/>
          <w:szCs w:val="24"/>
        </w:rPr>
        <w:t xml:space="preserve">see also </w:t>
      </w:r>
      <w:proofErr w:type="spellStart"/>
      <w:r w:rsidRPr="006A4CD7">
        <w:rPr>
          <w:rFonts w:cs="Times New Roman"/>
          <w:i/>
          <w:iCs/>
          <w:szCs w:val="24"/>
        </w:rPr>
        <w:t>Reynaga</w:t>
      </w:r>
      <w:proofErr w:type="spellEnd"/>
      <w:r w:rsidRPr="006A4CD7">
        <w:rPr>
          <w:rFonts w:cs="Times New Roman"/>
          <w:i/>
          <w:iCs/>
          <w:szCs w:val="24"/>
        </w:rPr>
        <w:t xml:space="preserve"> v. Roseburg Forest Prods</w:t>
      </w:r>
      <w:r w:rsidRPr="006A4CD7">
        <w:rPr>
          <w:rFonts w:cs="Times New Roman"/>
          <w:szCs w:val="24"/>
        </w:rPr>
        <w:t xml:space="preserve">., 847 F.3d 678, 687 (9th Cir. 2017) (conducting objective inquiry from perspective of reasonable member of applicable ethnic group); </w:t>
      </w:r>
      <w:r w:rsidRPr="006A4CD7">
        <w:rPr>
          <w:rFonts w:cs="Times New Roman"/>
          <w:i/>
          <w:iCs/>
          <w:szCs w:val="24"/>
        </w:rPr>
        <w:t>Fuller v. Idaho Dept. of Corr.</w:t>
      </w:r>
      <w:r w:rsidRPr="006A4CD7">
        <w:rPr>
          <w:rFonts w:cs="Times New Roman"/>
          <w:szCs w:val="24"/>
        </w:rPr>
        <w:t>, 865 F.3d 1154, 1158 (9th Cir. 2017) (holding that because women are disproportionately victims of rape and sexual assault, “a jury armed with common sense and an appropriate sensitivity to social context could reasonably conclude that the actions of [a female plaintiff’s supervisor, siding with the alleged male rapist over plaintiff,] were because of her sex”).</w:t>
      </w:r>
    </w:p>
    <w:p w14:paraId="0637D844" w14:textId="77777777" w:rsidR="00163F3A" w:rsidRPr="00D36AFA" w:rsidRDefault="00163F3A" w:rsidP="00163F3A">
      <w:pPr>
        <w:autoSpaceDE w:val="0"/>
        <w:autoSpaceDN w:val="0"/>
        <w:adjustRightInd w:val="0"/>
        <w:rPr>
          <w:rFonts w:cs="Times New Roman"/>
          <w:szCs w:val="24"/>
        </w:rPr>
      </w:pPr>
    </w:p>
    <w:p w14:paraId="2DEE3B60" w14:textId="04BB37E7" w:rsidR="009C2A80" w:rsidRPr="009C2A80" w:rsidRDefault="00163F3A" w:rsidP="009C2A80">
      <w:pPr>
        <w:pStyle w:val="BodyText"/>
        <w:spacing w:line="247" w:lineRule="auto"/>
        <w:ind w:left="100" w:right="110" w:firstLine="720"/>
      </w:pPr>
      <w:r w:rsidRPr="00D36AFA">
        <w:t xml:space="preserve">In determining whether the harassment was sufficiently severe or pervasive, the fact finder should consider all circumstances, “including those incidents that do not involve verbal communication between the plaintiff and harasser, physical proximity, or physical or sexual touching,” including interactions between the harasser and third persons. </w:t>
      </w:r>
      <w:r w:rsidRPr="00D36AFA">
        <w:rPr>
          <w:i/>
          <w:iCs/>
        </w:rPr>
        <w:t>Christian v. Umpqua Bank</w:t>
      </w:r>
      <w:r w:rsidRPr="00D36AFA">
        <w:t xml:space="preserve">, 984 F.3d 801, 810–11 (9th Cir. 2020) (citing </w:t>
      </w:r>
      <w:r w:rsidRPr="00D36AFA">
        <w:rPr>
          <w:i/>
          <w:iCs/>
        </w:rPr>
        <w:t>Davis v. Team Elec. Co.</w:t>
      </w:r>
      <w:r w:rsidRPr="00D36AFA">
        <w:t xml:space="preserve">, 520 F.3d 1080, 1095 (9th Cir. 2008)).  When harassment is of the “same type of conduct,” “occurred relatively frequently,” and was “perpetrated by the same individual,” that harassment should be evaluated together when assessing its severity.  </w:t>
      </w:r>
      <w:r w:rsidRPr="00D36AFA">
        <w:rPr>
          <w:i/>
          <w:iCs/>
        </w:rPr>
        <w:t>Id</w:t>
      </w:r>
      <w:r w:rsidRPr="00D36AFA">
        <w:t xml:space="preserve">. at 810 (quoting </w:t>
      </w:r>
      <w:proofErr w:type="spellStart"/>
      <w:r w:rsidRPr="00D36AFA">
        <w:rPr>
          <w:i/>
          <w:iCs/>
        </w:rPr>
        <w:t>Nat’l</w:t>
      </w:r>
      <w:proofErr w:type="spellEnd"/>
      <w:r w:rsidRPr="00D36AFA">
        <w:rPr>
          <w:i/>
          <w:iCs/>
        </w:rPr>
        <w:t xml:space="preserve"> R.R. Passenger Corp. v. Morgan</w:t>
      </w:r>
      <w:r w:rsidRPr="00D36AFA">
        <w:t>, 536 U.S. 101, 120–21 (2002)).</w:t>
      </w:r>
      <w:r w:rsidR="009C2A80" w:rsidRPr="00627C9A">
        <w:t xml:space="preserve"> By contrast, “harassment is not sufficiently severe or pervasive to establish a hostile work environment where the conduct at issue consists of limited or isolated behavior.” </w:t>
      </w:r>
      <w:r w:rsidR="009C2A80" w:rsidRPr="00627C9A">
        <w:rPr>
          <w:i/>
          <w:iCs/>
        </w:rPr>
        <w:t xml:space="preserve">See </w:t>
      </w:r>
      <w:proofErr w:type="spellStart"/>
      <w:r w:rsidR="009C2A80" w:rsidRPr="00627C9A">
        <w:rPr>
          <w:i/>
          <w:iCs/>
        </w:rPr>
        <w:t>Mattioda</w:t>
      </w:r>
      <w:proofErr w:type="spellEnd"/>
      <w:r w:rsidR="009C2A80" w:rsidRPr="00627C9A">
        <w:rPr>
          <w:i/>
          <w:iCs/>
        </w:rPr>
        <w:t xml:space="preserve"> v. Nelson</w:t>
      </w:r>
      <w:r w:rsidR="009C2A80" w:rsidRPr="00627C9A">
        <w:t xml:space="preserve">, 98 F. 4th 1164, 1177 (9th Cir. 2024) (citing </w:t>
      </w:r>
      <w:proofErr w:type="spellStart"/>
      <w:r w:rsidR="009C2A80" w:rsidRPr="00627C9A">
        <w:rPr>
          <w:i/>
          <w:iCs/>
        </w:rPr>
        <w:t>Kortan</w:t>
      </w:r>
      <w:proofErr w:type="spellEnd"/>
      <w:r w:rsidR="009C2A80" w:rsidRPr="00627C9A">
        <w:rPr>
          <w:i/>
          <w:iCs/>
        </w:rPr>
        <w:t xml:space="preserve"> v. Cal. Youth Auth</w:t>
      </w:r>
      <w:r w:rsidR="009C2A80" w:rsidRPr="00627C9A">
        <w:t>., 217 F.3d 1104, 1110 (9th Cir. 2000) (in affirming summary judgment in favor of the defendant, the court considered that, although offensive, the comments that the plaintiff complained of were “concentrated on one occasion”</w:t>
      </w:r>
      <w:r w:rsidR="00A84975" w:rsidRPr="00627C9A">
        <w:t>)</w:t>
      </w:r>
      <w:r w:rsidR="009C2A80" w:rsidRPr="00627C9A">
        <w:t>).</w:t>
      </w:r>
    </w:p>
    <w:p w14:paraId="36FA2636" w14:textId="77777777" w:rsidR="00163F3A" w:rsidRPr="00D36AFA" w:rsidRDefault="00163F3A" w:rsidP="00163F3A">
      <w:pPr>
        <w:autoSpaceDE w:val="0"/>
        <w:autoSpaceDN w:val="0"/>
        <w:adjustRightInd w:val="0"/>
        <w:rPr>
          <w:rFonts w:cs="Times New Roman"/>
          <w:szCs w:val="24"/>
        </w:rPr>
      </w:pPr>
    </w:p>
    <w:p w14:paraId="10ED8BF1" w14:textId="42978E0D" w:rsidR="000158AC" w:rsidRPr="000158AC" w:rsidRDefault="000158AC" w:rsidP="000158AC">
      <w:pPr>
        <w:autoSpaceDE w:val="0"/>
        <w:autoSpaceDN w:val="0"/>
        <w:adjustRightInd w:val="0"/>
        <w:ind w:firstLine="720"/>
        <w:rPr>
          <w:rFonts w:cs="Times New Roman"/>
          <w:szCs w:val="24"/>
        </w:rPr>
      </w:pPr>
      <w:r w:rsidRPr="000158AC">
        <w:rPr>
          <w:rFonts w:cs="Times New Roman"/>
          <w:szCs w:val="24"/>
        </w:rPr>
        <w:t xml:space="preserve">Targeting specific individuals with hostile conduct is not required to establish a Title VII violation. </w:t>
      </w:r>
      <w:r w:rsidRPr="000158AC">
        <w:rPr>
          <w:rFonts w:cs="Times New Roman"/>
          <w:i/>
          <w:iCs/>
          <w:szCs w:val="24"/>
        </w:rPr>
        <w:t>Sharp v. S&amp;S Activewear, L.L.C.</w:t>
      </w:r>
      <w:r w:rsidRPr="000158AC">
        <w:rPr>
          <w:rFonts w:cs="Times New Roman"/>
          <w:szCs w:val="24"/>
        </w:rPr>
        <w:t xml:space="preserve">, 69 F.4th 974, 979 (9th Cir. 2023) (holding that </w:t>
      </w:r>
      <w:r w:rsidR="001B5EAE">
        <w:rPr>
          <w:rFonts w:cs="Times New Roman"/>
          <w:szCs w:val="24"/>
        </w:rPr>
        <w:t>“</w:t>
      </w:r>
      <w:r w:rsidRPr="000158AC">
        <w:rPr>
          <w:rFonts w:cs="Times New Roman"/>
          <w:szCs w:val="24"/>
        </w:rPr>
        <w:t>repeated and prolonged exposure to sexually foul and abusive music</w:t>
      </w:r>
      <w:r w:rsidR="001B5EAE">
        <w:rPr>
          <w:rFonts w:cs="Times New Roman"/>
          <w:szCs w:val="24"/>
        </w:rPr>
        <w:t>”</w:t>
      </w:r>
      <w:r w:rsidRPr="000158AC">
        <w:rPr>
          <w:rFonts w:cs="Times New Roman"/>
          <w:szCs w:val="24"/>
        </w:rPr>
        <w:t xml:space="preserve"> falls within a broader category of auditory harassment that can pollute a workplace and violate Title VII). Further, an employer cannot claim as a defense that it is an equal opportunity harasser, </w:t>
      </w:r>
      <w:r w:rsidRPr="000158AC">
        <w:rPr>
          <w:rFonts w:cs="Times New Roman"/>
          <w:i/>
          <w:iCs/>
          <w:szCs w:val="24"/>
        </w:rPr>
        <w:t>i.e.</w:t>
      </w:r>
      <w:r w:rsidRPr="000158AC">
        <w:rPr>
          <w:rFonts w:cs="Times New Roman"/>
          <w:szCs w:val="24"/>
        </w:rPr>
        <w:t xml:space="preserve">, </w:t>
      </w:r>
      <w:proofErr w:type="gramStart"/>
      <w:r w:rsidRPr="000158AC">
        <w:rPr>
          <w:rFonts w:cs="Times New Roman"/>
          <w:szCs w:val="24"/>
        </w:rPr>
        <w:t>male</w:t>
      </w:r>
      <w:proofErr w:type="gramEnd"/>
      <w:r w:rsidRPr="000158AC">
        <w:rPr>
          <w:rFonts w:cs="Times New Roman"/>
          <w:szCs w:val="24"/>
        </w:rPr>
        <w:t xml:space="preserve"> and female plaintiffs can coexist in the same Title VII action. </w:t>
      </w:r>
      <w:r w:rsidRPr="000158AC">
        <w:rPr>
          <w:rFonts w:cs="Times New Roman"/>
          <w:i/>
          <w:iCs/>
          <w:szCs w:val="24"/>
        </w:rPr>
        <w:t>Id</w:t>
      </w:r>
      <w:r w:rsidRPr="000158AC">
        <w:rPr>
          <w:rFonts w:cs="Times New Roman"/>
          <w:szCs w:val="24"/>
        </w:rPr>
        <w:t>. (observing that the</w:t>
      </w:r>
      <w:r w:rsidR="00CA60C1">
        <w:rPr>
          <w:rFonts w:cs="Times New Roman"/>
          <w:szCs w:val="24"/>
        </w:rPr>
        <w:t xml:space="preserve"> rule also applies in the context of race discrimination</w:t>
      </w:r>
      <w:r w:rsidRPr="000158AC">
        <w:rPr>
          <w:rFonts w:cs="Times New Roman"/>
          <w:szCs w:val="24"/>
        </w:rPr>
        <w:t>).</w:t>
      </w:r>
    </w:p>
    <w:p w14:paraId="7AE14289" w14:textId="77777777" w:rsidR="00163F3A" w:rsidRPr="00D36AFA" w:rsidRDefault="00163F3A" w:rsidP="00163F3A">
      <w:pPr>
        <w:autoSpaceDE w:val="0"/>
        <w:autoSpaceDN w:val="0"/>
        <w:adjustRightInd w:val="0"/>
        <w:rPr>
          <w:rFonts w:cs="Times New Roman"/>
          <w:szCs w:val="24"/>
        </w:rPr>
      </w:pPr>
    </w:p>
    <w:p w14:paraId="2EC28B44" w14:textId="77777777" w:rsidR="00163F3A" w:rsidRPr="00D36AFA" w:rsidRDefault="00163F3A" w:rsidP="00163F3A"/>
    <w:p w14:paraId="78656F2A" w14:textId="30533984" w:rsidR="00163F3A" w:rsidRPr="00D36AFA" w:rsidRDefault="00163F3A" w:rsidP="00163F3A">
      <w:pPr>
        <w:autoSpaceDE w:val="0"/>
        <w:autoSpaceDN w:val="0"/>
        <w:adjustRightInd w:val="0"/>
        <w:jc w:val="right"/>
        <w:rPr>
          <w:rFonts w:cs="Times New Roman"/>
          <w:i/>
          <w:iCs/>
          <w:szCs w:val="24"/>
        </w:rPr>
      </w:pPr>
      <w:r w:rsidRPr="00D36AFA">
        <w:rPr>
          <w:rFonts w:cs="Times New Roman"/>
          <w:i/>
          <w:iCs/>
          <w:szCs w:val="24"/>
        </w:rPr>
        <w:t>Revised</w:t>
      </w:r>
      <w:r w:rsidR="00D36AFA" w:rsidRPr="00D36AFA">
        <w:rPr>
          <w:rFonts w:cs="Times New Roman"/>
          <w:i/>
          <w:iCs/>
          <w:szCs w:val="24"/>
        </w:rPr>
        <w:t xml:space="preserve"> </w:t>
      </w:r>
      <w:r w:rsidR="006B1C28">
        <w:rPr>
          <w:rFonts w:cs="Times New Roman"/>
          <w:i/>
          <w:iCs/>
          <w:szCs w:val="24"/>
        </w:rPr>
        <w:t>June 2024</w:t>
      </w:r>
    </w:p>
    <w:p w14:paraId="666698B0" w14:textId="77777777" w:rsidR="00163F3A" w:rsidRPr="006A4CD7" w:rsidRDefault="00163F3A" w:rsidP="00163F3A"/>
    <w:p w14:paraId="6D6B7C33" w14:textId="0D81F7DE" w:rsidR="00C35252" w:rsidRDefault="00C35252" w:rsidP="00163F3A"/>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3A"/>
    <w:rsid w:val="000158AC"/>
    <w:rsid w:val="000A00D9"/>
    <w:rsid w:val="00163F3A"/>
    <w:rsid w:val="001B5EAE"/>
    <w:rsid w:val="00543E3D"/>
    <w:rsid w:val="00627C9A"/>
    <w:rsid w:val="006B1C28"/>
    <w:rsid w:val="00886164"/>
    <w:rsid w:val="009C2A80"/>
    <w:rsid w:val="00A84975"/>
    <w:rsid w:val="00C35252"/>
    <w:rsid w:val="00CA60C1"/>
    <w:rsid w:val="00D3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1140"/>
  <w15:chartTrackingRefBased/>
  <w15:docId w15:val="{43E01539-D115-48B9-A404-4A9456A3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3A"/>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163F3A"/>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3F3A"/>
    <w:rPr>
      <w:rFonts w:ascii="Times New Roman" w:hAnsi="Times New Roman" w:cs="Times New Roman"/>
      <w:b/>
      <w:bCs/>
      <w:sz w:val="24"/>
      <w:szCs w:val="24"/>
    </w:rPr>
  </w:style>
  <w:style w:type="paragraph" w:styleId="BodyText">
    <w:name w:val="Body Text"/>
    <w:basedOn w:val="Normal"/>
    <w:link w:val="BodyTextChar"/>
    <w:uiPriority w:val="1"/>
    <w:qFormat/>
    <w:rsid w:val="00163F3A"/>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163F3A"/>
    <w:rPr>
      <w:rFonts w:ascii="Times New Roman" w:eastAsia="Times New Roman" w:hAnsi="Times New Roman" w:cs="Times New Roman"/>
      <w:sz w:val="24"/>
      <w:szCs w:val="24"/>
    </w:rPr>
  </w:style>
  <w:style w:type="paragraph" w:styleId="Revision">
    <w:name w:val="Revision"/>
    <w:hidden/>
    <w:uiPriority w:val="99"/>
    <w:semiHidden/>
    <w:rsid w:val="000158A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6</cp:revision>
  <dcterms:created xsi:type="dcterms:W3CDTF">2023-10-11T17:32:00Z</dcterms:created>
  <dcterms:modified xsi:type="dcterms:W3CDTF">2024-08-06T21:44:00Z</dcterms:modified>
</cp:coreProperties>
</file>