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D6E1" w14:textId="77777777" w:rsidR="002B7A9E" w:rsidRPr="006A4CD7" w:rsidRDefault="002B7A9E" w:rsidP="002B7A9E">
      <w:pPr>
        <w:pStyle w:val="Heading2"/>
      </w:pPr>
      <w:bookmarkStart w:id="0" w:name="_Toc167357296"/>
      <w:bookmarkStart w:id="1" w:name="_Hlk173444019"/>
      <w:r w:rsidRPr="006A4CD7">
        <w:t xml:space="preserve">10.7 </w:t>
      </w:r>
      <w:r w:rsidRPr="00893907">
        <w:t>Civil Rights—Title VII—Hostile Work Environment Caused by Non-Immediate</w:t>
      </w:r>
      <w:r>
        <w:t xml:space="preserve"> </w:t>
      </w:r>
      <w:r w:rsidRPr="00893907">
        <w:t>Supervisor or by Co-Worker—Claim Based on Negligence</w:t>
      </w:r>
      <w:bookmarkEnd w:id="0"/>
      <w:r w:rsidRPr="006A4CD7">
        <w:t xml:space="preserve"> </w:t>
      </w:r>
    </w:p>
    <w:bookmarkEnd w:id="1"/>
    <w:p w14:paraId="29566575" w14:textId="77777777" w:rsidR="002B7A9E" w:rsidRPr="006A4CD7" w:rsidRDefault="002B7A9E" w:rsidP="002B7A9E"/>
    <w:p w14:paraId="727F0CAC"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The plaintiff seeks damages from the defendant for a hostile work environment caused by [sexual] [racial] [</w:t>
      </w:r>
      <w:r w:rsidRPr="006A4CD7">
        <w:rPr>
          <w:rFonts w:cs="Times New Roman"/>
          <w:i/>
          <w:iCs/>
          <w:szCs w:val="24"/>
          <w:u w:val="single"/>
        </w:rPr>
        <w:t>other Title VII protected characteristic</w:t>
      </w:r>
      <w:r w:rsidRPr="006A4CD7">
        <w:rPr>
          <w:rFonts w:cs="Times New Roman"/>
          <w:szCs w:val="24"/>
        </w:rPr>
        <w:t>] harassment.  The plaintiff has the burden of proving both of the following elements by a preponderance of the evidence:</w:t>
      </w:r>
    </w:p>
    <w:p w14:paraId="0F161427" w14:textId="77777777" w:rsidR="002B7A9E" w:rsidRPr="006A4CD7" w:rsidRDefault="002B7A9E" w:rsidP="002B7A9E">
      <w:pPr>
        <w:autoSpaceDE w:val="0"/>
        <w:autoSpaceDN w:val="0"/>
        <w:adjustRightInd w:val="0"/>
        <w:rPr>
          <w:rFonts w:cs="Times New Roman"/>
          <w:szCs w:val="24"/>
        </w:rPr>
      </w:pPr>
    </w:p>
    <w:p w14:paraId="5D0FE4C6" w14:textId="77777777" w:rsidR="002B7A9E" w:rsidRPr="006A4CD7" w:rsidRDefault="002B7A9E" w:rsidP="002B7A9E">
      <w:pPr>
        <w:autoSpaceDE w:val="0"/>
        <w:autoSpaceDN w:val="0"/>
        <w:adjustRightInd w:val="0"/>
        <w:ind w:left="1440" w:hanging="720"/>
        <w:rPr>
          <w:rFonts w:cs="Times New Roman"/>
          <w:szCs w:val="24"/>
        </w:rPr>
      </w:pPr>
      <w:r w:rsidRPr="006A4CD7">
        <w:rPr>
          <w:rFonts w:cs="Times New Roman"/>
          <w:szCs w:val="24"/>
        </w:rPr>
        <w:t xml:space="preserve">1. </w:t>
      </w:r>
      <w:r w:rsidRPr="006A4CD7">
        <w:rPr>
          <w:rFonts w:cs="Times New Roman"/>
          <w:szCs w:val="24"/>
        </w:rPr>
        <w:tab/>
        <w:t>the plaintiff was subjected to a [sexually] [racially] [</w:t>
      </w:r>
      <w:r w:rsidRPr="006A4CD7">
        <w:rPr>
          <w:rFonts w:cs="Times New Roman"/>
          <w:i/>
          <w:iCs/>
          <w:szCs w:val="24"/>
          <w:u w:val="single"/>
        </w:rPr>
        <w:t>other Title VII protected characteristic</w:t>
      </w:r>
      <w:r w:rsidRPr="006A4CD7">
        <w:rPr>
          <w:rFonts w:cs="Times New Roman"/>
          <w:szCs w:val="24"/>
        </w:rPr>
        <w:t>] hostile work environment by a [non-immediate supervisor] [co-worker]; and</w:t>
      </w:r>
    </w:p>
    <w:p w14:paraId="45C85A25" w14:textId="77777777" w:rsidR="002B7A9E" w:rsidRPr="006A4CD7" w:rsidRDefault="002B7A9E" w:rsidP="002B7A9E">
      <w:pPr>
        <w:autoSpaceDE w:val="0"/>
        <w:autoSpaceDN w:val="0"/>
        <w:adjustRightInd w:val="0"/>
        <w:rPr>
          <w:rFonts w:cs="Times New Roman"/>
          <w:szCs w:val="24"/>
        </w:rPr>
      </w:pPr>
    </w:p>
    <w:p w14:paraId="32370B98" w14:textId="77777777" w:rsidR="002B7A9E" w:rsidRPr="006A4CD7" w:rsidRDefault="002B7A9E" w:rsidP="002B7A9E">
      <w:pPr>
        <w:autoSpaceDE w:val="0"/>
        <w:autoSpaceDN w:val="0"/>
        <w:adjustRightInd w:val="0"/>
        <w:ind w:left="1440" w:hanging="720"/>
        <w:rPr>
          <w:rFonts w:cs="Times New Roman"/>
          <w:szCs w:val="24"/>
        </w:rPr>
      </w:pPr>
      <w:r w:rsidRPr="006A4CD7">
        <w:rPr>
          <w:rFonts w:cs="Times New Roman"/>
          <w:szCs w:val="24"/>
        </w:rPr>
        <w:t xml:space="preserve">2. </w:t>
      </w:r>
      <w:r w:rsidRPr="006A4CD7">
        <w:rPr>
          <w:rFonts w:cs="Times New Roman"/>
          <w:szCs w:val="24"/>
        </w:rPr>
        <w:tab/>
        <w:t>the defendant or a member of the defendant’s management knew or should have known of the harassment and failed to take prompt, effective remedial action reasonably calculated to end the harassment.</w:t>
      </w:r>
    </w:p>
    <w:p w14:paraId="04C48B02" w14:textId="77777777" w:rsidR="002B7A9E" w:rsidRPr="006A4CD7" w:rsidRDefault="002B7A9E" w:rsidP="002B7A9E">
      <w:pPr>
        <w:autoSpaceDE w:val="0"/>
        <w:autoSpaceDN w:val="0"/>
        <w:adjustRightInd w:val="0"/>
        <w:rPr>
          <w:rFonts w:cs="Times New Roman"/>
          <w:szCs w:val="24"/>
        </w:rPr>
      </w:pPr>
    </w:p>
    <w:p w14:paraId="03157577"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 xml:space="preserve">A person is a member of management if the person has substantial authority and discretion to make decisions concerning the terms of the harasser’s employment or the plaintiff’s employment, such as authority to counsel, investigate, suspend, or fire the accused harasser, or to change the conditions of the plaintiff’s employment.  A person who lacks such authority is nevertheless part of management if he or she has an official or strong duty in fact to communicate to management complaints about work conditions.  You should consider all the circumstances in this case in determining whether a person has such a duty.  </w:t>
      </w:r>
    </w:p>
    <w:p w14:paraId="6948105F" w14:textId="77777777" w:rsidR="002B7A9E" w:rsidRPr="006A4CD7" w:rsidRDefault="002B7A9E" w:rsidP="002B7A9E">
      <w:pPr>
        <w:autoSpaceDE w:val="0"/>
        <w:autoSpaceDN w:val="0"/>
        <w:adjustRightInd w:val="0"/>
        <w:rPr>
          <w:rFonts w:cs="Times New Roman"/>
          <w:szCs w:val="24"/>
        </w:rPr>
      </w:pPr>
    </w:p>
    <w:p w14:paraId="0CA90AEC"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The defendant’s remedial action must be reasonable and adequate.  Whether the defendant’s remedial action is reasonable and adequate depends on the remedy’s effectiveness in stopping the individual harasser from continuing to engage in such conduct and in discouraging other potential harassers from engaging in similar unlawful conduct.  An effective remedy should be proportionate to the seriousness of the offense.</w:t>
      </w:r>
    </w:p>
    <w:p w14:paraId="4C14B442" w14:textId="77777777" w:rsidR="002B7A9E" w:rsidRPr="006A4CD7" w:rsidRDefault="002B7A9E" w:rsidP="002B7A9E">
      <w:pPr>
        <w:autoSpaceDE w:val="0"/>
        <w:autoSpaceDN w:val="0"/>
        <w:adjustRightInd w:val="0"/>
        <w:rPr>
          <w:rFonts w:cs="Times New Roman"/>
          <w:szCs w:val="24"/>
        </w:rPr>
      </w:pPr>
    </w:p>
    <w:p w14:paraId="51542E7A"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If you find that the plaintiff has proved both of the elements on which the plaintiff has the burden of proof, your verdict should be for the plaintiff.  If, on the other hand, the plaintiff has failed to prove either of these elements, your verdict should be for the defendant.</w:t>
      </w:r>
    </w:p>
    <w:p w14:paraId="2587EABE" w14:textId="77777777" w:rsidR="002B7A9E" w:rsidRPr="006A4CD7" w:rsidRDefault="002B7A9E" w:rsidP="002B7A9E"/>
    <w:p w14:paraId="6A454E7E" w14:textId="77777777" w:rsidR="002B7A9E" w:rsidRPr="006A4CD7" w:rsidRDefault="002B7A9E" w:rsidP="002B7A9E">
      <w:pPr>
        <w:autoSpaceDE w:val="0"/>
        <w:autoSpaceDN w:val="0"/>
        <w:adjustRightInd w:val="0"/>
        <w:jc w:val="center"/>
        <w:rPr>
          <w:rFonts w:cs="Times New Roman"/>
          <w:szCs w:val="24"/>
        </w:rPr>
      </w:pPr>
      <w:r w:rsidRPr="006A4CD7">
        <w:rPr>
          <w:rFonts w:cs="Times New Roman"/>
          <w:b/>
          <w:bCs/>
          <w:szCs w:val="24"/>
        </w:rPr>
        <w:t>Comment</w:t>
      </w:r>
    </w:p>
    <w:p w14:paraId="7FE11EF2" w14:textId="77777777" w:rsidR="002B7A9E" w:rsidRPr="006A4CD7" w:rsidRDefault="002B7A9E" w:rsidP="002B7A9E"/>
    <w:p w14:paraId="7A6D2EAF"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r>
      <w:r w:rsidRPr="006A4CD7">
        <w:rPr>
          <w:rFonts w:cs="Times New Roman"/>
          <w:i/>
          <w:iCs/>
          <w:szCs w:val="24"/>
        </w:rPr>
        <w:t>See</w:t>
      </w:r>
      <w:r w:rsidRPr="006A4CD7">
        <w:rPr>
          <w:rFonts w:cs="Times New Roman"/>
          <w:szCs w:val="24"/>
        </w:rPr>
        <w:t xml:space="preserve"> Introductory Comment to this chapter.  </w:t>
      </w:r>
      <w:r w:rsidRPr="006A4CD7">
        <w:rPr>
          <w:rFonts w:cs="Times New Roman"/>
          <w:i/>
          <w:iCs/>
          <w:szCs w:val="24"/>
        </w:rPr>
        <w:t>See also Swinton v. Potomac Corp.</w:t>
      </w:r>
      <w:r w:rsidRPr="006A4CD7">
        <w:rPr>
          <w:rFonts w:cs="Times New Roman"/>
          <w:szCs w:val="24"/>
        </w:rPr>
        <w:t xml:space="preserve">, 270 F.3d 794, 803-05 (9th Cir. 2001).  Use this instruction when the claim against the employer is based on negligence and involves harassment by another co-worker or a supervisor who is not the plaintiff’s direct (immediate or successively higher) supervisor.  </w:t>
      </w:r>
    </w:p>
    <w:p w14:paraId="49A4EAAE" w14:textId="77777777" w:rsidR="002B7A9E" w:rsidRPr="006A4CD7" w:rsidRDefault="002B7A9E" w:rsidP="002B7A9E">
      <w:pPr>
        <w:autoSpaceDE w:val="0"/>
        <w:autoSpaceDN w:val="0"/>
        <w:adjustRightInd w:val="0"/>
        <w:rPr>
          <w:rFonts w:cs="Times New Roman"/>
          <w:szCs w:val="24"/>
        </w:rPr>
      </w:pPr>
    </w:p>
    <w:p w14:paraId="56CBFFD5"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 xml:space="preserve">Use this instruction in conjunction with Instruction 10.5 (Civil Rights—Title VII—Hostile Work Environment—Harassment Because of Protected Characteristics—Elements).  </w:t>
      </w:r>
    </w:p>
    <w:p w14:paraId="6B227A6C" w14:textId="77777777" w:rsidR="002B7A9E" w:rsidRPr="006A4CD7" w:rsidRDefault="002B7A9E" w:rsidP="002B7A9E">
      <w:pPr>
        <w:autoSpaceDE w:val="0"/>
        <w:autoSpaceDN w:val="0"/>
        <w:adjustRightInd w:val="0"/>
        <w:rPr>
          <w:rFonts w:cs="Times New Roman"/>
          <w:szCs w:val="24"/>
        </w:rPr>
      </w:pPr>
    </w:p>
    <w:p w14:paraId="24BF7E97"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When an affirmative defense is asserted, this instruction should be accompanied by the appropriate affirmative defense instruction.</w:t>
      </w:r>
    </w:p>
    <w:p w14:paraId="61683C59" w14:textId="77777777" w:rsidR="002B7A9E" w:rsidRPr="006A4CD7" w:rsidRDefault="002B7A9E" w:rsidP="002B7A9E">
      <w:pPr>
        <w:autoSpaceDE w:val="0"/>
        <w:autoSpaceDN w:val="0"/>
        <w:adjustRightInd w:val="0"/>
        <w:rPr>
          <w:rFonts w:cs="Times New Roman"/>
          <w:szCs w:val="24"/>
        </w:rPr>
      </w:pPr>
    </w:p>
    <w:p w14:paraId="76E005D5" w14:textId="77777777" w:rsidR="002B7A9E" w:rsidRPr="006A4CD7" w:rsidRDefault="002B7A9E" w:rsidP="002B7A9E">
      <w:pPr>
        <w:autoSpaceDE w:val="0"/>
        <w:autoSpaceDN w:val="0"/>
        <w:adjustRightInd w:val="0"/>
        <w:rPr>
          <w:rFonts w:cs="Times New Roman"/>
          <w:szCs w:val="24"/>
        </w:rPr>
      </w:pPr>
      <w:r w:rsidRPr="006A4CD7">
        <w:rPr>
          <w:rFonts w:cs="Times New Roman"/>
          <w:szCs w:val="24"/>
        </w:rPr>
        <w:lastRenderedPageBreak/>
        <w:tab/>
        <w:t xml:space="preserve">Under a negligence theory, an employer is liable if the employer (or its “management”) knew or should have known of the harassing conduct and failed to take reasonably prompt corrective action to end the harassment. </w:t>
      </w:r>
      <w:r w:rsidRPr="006A4CD7">
        <w:rPr>
          <w:rFonts w:cs="Times New Roman"/>
          <w:i/>
          <w:iCs/>
          <w:szCs w:val="24"/>
        </w:rPr>
        <w:t xml:space="preserve"> Swinton</w:t>
      </w:r>
      <w:r w:rsidRPr="006A4CD7">
        <w:rPr>
          <w:rFonts w:cs="Times New Roman"/>
          <w:szCs w:val="24"/>
        </w:rPr>
        <w:t xml:space="preserve">, 270 F.3d at 803-04.  There are two categories of employees who constitute “management” for purposes of a negligence claim.  </w:t>
      </w:r>
      <w:r w:rsidRPr="006A4CD7">
        <w:rPr>
          <w:rFonts w:cs="Times New Roman"/>
          <w:i/>
          <w:iCs/>
          <w:szCs w:val="24"/>
        </w:rPr>
        <w:t>Id.</w:t>
      </w:r>
      <w:r w:rsidRPr="006A4CD7">
        <w:rPr>
          <w:rFonts w:cs="Times New Roman"/>
          <w:szCs w:val="24"/>
        </w:rPr>
        <w:t xml:space="preserve"> at 804.  The first category is a member of management who possesses substantial authority and discretion to make decisions over the plaintiff’s or the harasser’s employment, such as “authority to counsel, investigate, suspend or fire the accused harasser, or to change the conditions of the </w:t>
      </w:r>
      <w:proofErr w:type="spellStart"/>
      <w:r w:rsidRPr="006A4CD7">
        <w:rPr>
          <w:rFonts w:cs="Times New Roman"/>
          <w:szCs w:val="24"/>
        </w:rPr>
        <w:t>harassee’s</w:t>
      </w:r>
      <w:proofErr w:type="spellEnd"/>
      <w:r w:rsidRPr="006A4CD7">
        <w:rPr>
          <w:rFonts w:cs="Times New Roman"/>
          <w:szCs w:val="24"/>
        </w:rPr>
        <w:t xml:space="preserve"> employment.”  </w:t>
      </w:r>
      <w:r w:rsidRPr="006A4CD7">
        <w:rPr>
          <w:rFonts w:cs="Times New Roman"/>
          <w:i/>
          <w:iCs/>
          <w:szCs w:val="24"/>
        </w:rPr>
        <w:t xml:space="preserve">Id. </w:t>
      </w:r>
      <w:r w:rsidRPr="006A4CD7">
        <w:rPr>
          <w:rFonts w:cs="Times New Roman"/>
          <w:szCs w:val="24"/>
        </w:rPr>
        <w:t xml:space="preserve"> The second category of employees who qualify as management consists of any supervisor who lacks this authority but nonetheless “has an official or strong de facto duty to act as a conduit to management for complaints about work conditions.”  </w:t>
      </w:r>
      <w:r w:rsidRPr="006A4CD7">
        <w:rPr>
          <w:rFonts w:cs="Times New Roman"/>
          <w:i/>
          <w:iCs/>
          <w:szCs w:val="24"/>
        </w:rPr>
        <w:t xml:space="preserve">Id. </w:t>
      </w:r>
      <w:r w:rsidRPr="006A4CD7">
        <w:rPr>
          <w:rFonts w:cs="Times New Roman"/>
          <w:szCs w:val="24"/>
        </w:rPr>
        <w:t>at 805 (citations omitted)</w:t>
      </w:r>
      <w:r w:rsidRPr="006A4CD7">
        <w:rPr>
          <w:rFonts w:cs="Times New Roman"/>
          <w:i/>
          <w:iCs/>
          <w:szCs w:val="24"/>
        </w:rPr>
        <w:t xml:space="preserve">. </w:t>
      </w:r>
    </w:p>
    <w:p w14:paraId="0B4CC4FA" w14:textId="77777777" w:rsidR="002B7A9E" w:rsidRPr="006A4CD7" w:rsidRDefault="002B7A9E" w:rsidP="002B7A9E">
      <w:pPr>
        <w:autoSpaceDE w:val="0"/>
        <w:autoSpaceDN w:val="0"/>
        <w:adjustRightInd w:val="0"/>
        <w:rPr>
          <w:rFonts w:cs="Times New Roman"/>
          <w:szCs w:val="24"/>
        </w:rPr>
      </w:pPr>
    </w:p>
    <w:p w14:paraId="1B2D6365"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 xml:space="preserve">It should be noted, however, that neither </w:t>
      </w:r>
      <w:r w:rsidRPr="006A4CD7">
        <w:rPr>
          <w:rFonts w:cs="Times New Roman"/>
          <w:i/>
          <w:iCs/>
          <w:szCs w:val="24"/>
        </w:rPr>
        <w:t>Swinton</w:t>
      </w:r>
      <w:r w:rsidRPr="006A4CD7">
        <w:rPr>
          <w:rFonts w:cs="Times New Roman"/>
          <w:szCs w:val="24"/>
        </w:rPr>
        <w:t xml:space="preserve"> nor any of the cases relied on by </w:t>
      </w:r>
      <w:r w:rsidRPr="006A4CD7">
        <w:rPr>
          <w:rFonts w:cs="Times New Roman"/>
          <w:i/>
          <w:iCs/>
          <w:szCs w:val="24"/>
        </w:rPr>
        <w:t>Swinton</w:t>
      </w:r>
      <w:r w:rsidRPr="006A4CD7">
        <w:rPr>
          <w:rFonts w:cs="Times New Roman"/>
          <w:szCs w:val="24"/>
        </w:rPr>
        <w:t xml:space="preserve"> provides a definition of a supervisor or other employee with “an official or strong de facto duty to act as a conduit to management for complaints about work conditions.”  </w:t>
      </w:r>
      <w:r w:rsidRPr="006A4CD7">
        <w:rPr>
          <w:rFonts w:cs="Times New Roman"/>
          <w:i/>
          <w:iCs/>
          <w:szCs w:val="24"/>
        </w:rPr>
        <w:t>See Swinton</w:t>
      </w:r>
      <w:r w:rsidRPr="006A4CD7">
        <w:rPr>
          <w:rFonts w:cs="Times New Roman"/>
          <w:szCs w:val="24"/>
        </w:rPr>
        <w:t xml:space="preserve">, 270 F.3d at 804-05.  To aid jury understanding, the Committee has modified the </w:t>
      </w:r>
      <w:r w:rsidRPr="006A4CD7">
        <w:rPr>
          <w:rFonts w:cs="Times New Roman"/>
          <w:i/>
          <w:iCs/>
          <w:szCs w:val="24"/>
        </w:rPr>
        <w:t>Swinton</w:t>
      </w:r>
      <w:r w:rsidRPr="006A4CD7">
        <w:rPr>
          <w:rFonts w:cs="Times New Roman"/>
          <w:szCs w:val="24"/>
        </w:rPr>
        <w:t xml:space="preserve"> language of “de facto duty to act as a conduit to management . . ..” to “duty in fact to communicate to management . . ..”  </w:t>
      </w:r>
    </w:p>
    <w:p w14:paraId="374AD27D" w14:textId="77777777" w:rsidR="002B7A9E" w:rsidRPr="006A4CD7" w:rsidRDefault="002B7A9E" w:rsidP="002B7A9E">
      <w:pPr>
        <w:autoSpaceDE w:val="0"/>
        <w:autoSpaceDN w:val="0"/>
        <w:adjustRightInd w:val="0"/>
        <w:rPr>
          <w:rFonts w:cs="Times New Roman"/>
          <w:szCs w:val="24"/>
        </w:rPr>
      </w:pPr>
    </w:p>
    <w:p w14:paraId="4C79D31C"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 xml:space="preserve">The two elements of this instruction are based on </w:t>
      </w:r>
      <w:r w:rsidRPr="006A4CD7">
        <w:rPr>
          <w:rFonts w:cs="Times New Roman"/>
          <w:i/>
          <w:iCs/>
          <w:szCs w:val="24"/>
        </w:rPr>
        <w:t>Burrell v. Star Nursery, Inc.</w:t>
      </w:r>
      <w:r w:rsidRPr="006A4CD7">
        <w:rPr>
          <w:rFonts w:cs="Times New Roman"/>
          <w:szCs w:val="24"/>
        </w:rPr>
        <w:t xml:space="preserve">, 170 F.3d 951, 955 (9th Cir. 1999), and </w:t>
      </w:r>
      <w:proofErr w:type="spellStart"/>
      <w:r w:rsidRPr="006A4CD7">
        <w:rPr>
          <w:rFonts w:cs="Times New Roman"/>
          <w:i/>
          <w:iCs/>
          <w:szCs w:val="24"/>
        </w:rPr>
        <w:t>Mockler</w:t>
      </w:r>
      <w:proofErr w:type="spellEnd"/>
      <w:r w:rsidRPr="006A4CD7">
        <w:rPr>
          <w:rFonts w:cs="Times New Roman"/>
          <w:i/>
          <w:iCs/>
          <w:szCs w:val="24"/>
        </w:rPr>
        <w:t xml:space="preserve"> v. Multnomah County</w:t>
      </w:r>
      <w:r w:rsidRPr="006A4CD7">
        <w:rPr>
          <w:rFonts w:cs="Times New Roman"/>
          <w:szCs w:val="24"/>
        </w:rPr>
        <w:t xml:space="preserve">, 140 F.3d 808, 812 (9th Cir. 1998).  The text of the instruction addressing remedial action is based on </w:t>
      </w:r>
      <w:proofErr w:type="spellStart"/>
      <w:r w:rsidRPr="006A4CD7">
        <w:rPr>
          <w:rFonts w:cs="Times New Roman"/>
          <w:i/>
          <w:iCs/>
          <w:szCs w:val="24"/>
        </w:rPr>
        <w:t>Mockler</w:t>
      </w:r>
      <w:proofErr w:type="spellEnd"/>
      <w:r w:rsidRPr="006A4CD7">
        <w:rPr>
          <w:rFonts w:cs="Times New Roman"/>
          <w:szCs w:val="24"/>
        </w:rPr>
        <w:t xml:space="preserve">, 140 F.3d at 813 (citing </w:t>
      </w:r>
      <w:r w:rsidRPr="006A4CD7">
        <w:rPr>
          <w:rFonts w:cs="Times New Roman"/>
          <w:i/>
          <w:iCs/>
          <w:szCs w:val="24"/>
        </w:rPr>
        <w:t>Ellison v. Brady</w:t>
      </w:r>
      <w:r w:rsidRPr="006A4CD7">
        <w:rPr>
          <w:rFonts w:cs="Times New Roman"/>
          <w:szCs w:val="24"/>
        </w:rPr>
        <w:t>, 924 F.2d 872, 882 (9th Cir. 1991)).</w:t>
      </w:r>
    </w:p>
    <w:p w14:paraId="78A4C0DF" w14:textId="77777777" w:rsidR="002B7A9E" w:rsidRPr="006A4CD7" w:rsidRDefault="002B7A9E" w:rsidP="002B7A9E">
      <w:pPr>
        <w:autoSpaceDE w:val="0"/>
        <w:autoSpaceDN w:val="0"/>
        <w:adjustRightInd w:val="0"/>
        <w:rPr>
          <w:rFonts w:cs="Times New Roman"/>
          <w:szCs w:val="24"/>
        </w:rPr>
      </w:pPr>
    </w:p>
    <w:p w14:paraId="638813D6" w14:textId="77777777" w:rsidR="002B7A9E" w:rsidRPr="006A4CD7" w:rsidRDefault="002B7A9E" w:rsidP="002B7A9E">
      <w:pPr>
        <w:autoSpaceDE w:val="0"/>
        <w:autoSpaceDN w:val="0"/>
        <w:adjustRightInd w:val="0"/>
        <w:rPr>
          <w:rFonts w:cs="Times New Roman"/>
          <w:szCs w:val="24"/>
        </w:rPr>
      </w:pPr>
      <w:r w:rsidRPr="006A4CD7">
        <w:rPr>
          <w:rFonts w:cs="Times New Roman"/>
          <w:szCs w:val="24"/>
        </w:rPr>
        <w:tab/>
        <w:t xml:space="preserve">The burden is on the plaintiff to “show that the employer knew or should have known of the harassment and took no effectual action to correct the situation.”  </w:t>
      </w:r>
      <w:proofErr w:type="spellStart"/>
      <w:r w:rsidRPr="006A4CD7">
        <w:rPr>
          <w:rFonts w:cs="Times New Roman"/>
          <w:i/>
          <w:iCs/>
          <w:szCs w:val="24"/>
        </w:rPr>
        <w:t>Mockler</w:t>
      </w:r>
      <w:proofErr w:type="spellEnd"/>
      <w:r w:rsidRPr="006A4CD7">
        <w:rPr>
          <w:rFonts w:cs="Times New Roman"/>
          <w:szCs w:val="24"/>
        </w:rPr>
        <w:t xml:space="preserve">, 140 F.3d at 812 (citations omitted). “This showing can . . . be rebutted by the employer directly, or by pointing to prompt remedial action reasonably calculated to end the harassment.” </w:t>
      </w:r>
      <w:r w:rsidRPr="006A4CD7">
        <w:rPr>
          <w:rFonts w:cs="Times New Roman"/>
          <w:i/>
          <w:iCs/>
          <w:szCs w:val="24"/>
        </w:rPr>
        <w:t>Id.</w:t>
      </w:r>
    </w:p>
    <w:p w14:paraId="766DD713" w14:textId="77777777" w:rsidR="002B7A9E" w:rsidRPr="006A4CD7" w:rsidRDefault="002B7A9E" w:rsidP="002B7A9E">
      <w:pPr>
        <w:autoSpaceDE w:val="0"/>
        <w:autoSpaceDN w:val="0"/>
        <w:adjustRightInd w:val="0"/>
        <w:rPr>
          <w:rFonts w:cs="Times New Roman"/>
          <w:szCs w:val="24"/>
        </w:rPr>
      </w:pPr>
    </w:p>
    <w:p w14:paraId="6EE0E80A" w14:textId="77777777" w:rsidR="002B7A9E" w:rsidRPr="00180D33" w:rsidRDefault="002B7A9E" w:rsidP="002B7A9E">
      <w:pPr>
        <w:autoSpaceDE w:val="0"/>
        <w:autoSpaceDN w:val="0"/>
        <w:adjustRightInd w:val="0"/>
        <w:rPr>
          <w:rFonts w:cs="Times New Roman"/>
          <w:szCs w:val="24"/>
        </w:rPr>
      </w:pPr>
      <w:r w:rsidRPr="006A4CD7">
        <w:rPr>
          <w:rFonts w:cs="Times New Roman"/>
          <w:szCs w:val="24"/>
        </w:rPr>
        <w:tab/>
        <w:t xml:space="preserve">In determining whether an employer’s response to the harassment is sufficient to absolve it from liability, “the fact that [the] harassment stops is only a test for measuring the efficacy of a remedy, not a way of excusing the obligation to remedy.” </w:t>
      </w:r>
      <w:r w:rsidRPr="006A4CD7">
        <w:rPr>
          <w:rFonts w:cs="Times New Roman"/>
          <w:i/>
          <w:iCs/>
          <w:szCs w:val="24"/>
        </w:rPr>
        <w:t xml:space="preserve"> Fuller v. City of Oakland</w:t>
      </w:r>
      <w:r w:rsidRPr="006A4CD7">
        <w:rPr>
          <w:rFonts w:cs="Times New Roman"/>
          <w:szCs w:val="24"/>
        </w:rPr>
        <w:t>, 47 F.3d 1522, 1528 (9th Cir. 1995)</w:t>
      </w:r>
      <w:r>
        <w:rPr>
          <w:rFonts w:cs="Times New Roman"/>
          <w:szCs w:val="24"/>
        </w:rPr>
        <w:t xml:space="preserve">, </w:t>
      </w:r>
      <w:r w:rsidRPr="00180D33">
        <w:rPr>
          <w:rFonts w:cs="Times New Roman"/>
          <w:i/>
          <w:iCs/>
          <w:szCs w:val="24"/>
        </w:rPr>
        <w:t xml:space="preserve">as amended </w:t>
      </w:r>
      <w:r w:rsidRPr="00180D33">
        <w:rPr>
          <w:rFonts w:cs="Times New Roman"/>
          <w:szCs w:val="24"/>
        </w:rPr>
        <w:t>(Apr. 24, 1995)</w:t>
      </w:r>
      <w:r w:rsidRPr="006A4CD7">
        <w:rPr>
          <w:rFonts w:cs="Times New Roman"/>
          <w:szCs w:val="24"/>
        </w:rPr>
        <w:t xml:space="preserve">. “Once an employer knows or should know of harassment, a remedial obligation kicks in.”  </w:t>
      </w:r>
      <w:r w:rsidRPr="006A4CD7">
        <w:rPr>
          <w:rFonts w:cs="Times New Roman"/>
          <w:i/>
          <w:iCs/>
          <w:szCs w:val="24"/>
        </w:rPr>
        <w:t xml:space="preserve">Id. </w:t>
      </w:r>
      <w:r w:rsidRPr="006A4CD7">
        <w:rPr>
          <w:rFonts w:cs="Times New Roman"/>
          <w:szCs w:val="24"/>
        </w:rPr>
        <w:t xml:space="preserve"> Therefore, “if 1) no remedy is undertaken, or 2) the remedy attempted is ineffectual, liability will attach.” </w:t>
      </w:r>
      <w:r w:rsidRPr="006A4CD7">
        <w:rPr>
          <w:rFonts w:cs="Times New Roman"/>
          <w:i/>
          <w:iCs/>
          <w:szCs w:val="24"/>
        </w:rPr>
        <w:t xml:space="preserve"> Id.</w:t>
      </w:r>
      <w:r w:rsidRPr="006A4CD7">
        <w:rPr>
          <w:rFonts w:cs="Times New Roman"/>
          <w:szCs w:val="24"/>
        </w:rPr>
        <w:t xml:space="preserve"> at 1528-29; </w:t>
      </w:r>
      <w:r w:rsidRPr="006A4CD7">
        <w:rPr>
          <w:rFonts w:cs="Times New Roman"/>
          <w:i/>
          <w:iCs/>
          <w:szCs w:val="24"/>
        </w:rPr>
        <w:t xml:space="preserve">see also </w:t>
      </w:r>
      <w:proofErr w:type="spellStart"/>
      <w:r w:rsidRPr="006A4CD7">
        <w:rPr>
          <w:rFonts w:cs="Times New Roman"/>
          <w:i/>
          <w:iCs/>
          <w:szCs w:val="24"/>
        </w:rPr>
        <w:t>Reynaga</w:t>
      </w:r>
      <w:proofErr w:type="spellEnd"/>
      <w:r w:rsidRPr="006A4CD7">
        <w:rPr>
          <w:rFonts w:cs="Times New Roman"/>
          <w:i/>
          <w:iCs/>
          <w:szCs w:val="24"/>
        </w:rPr>
        <w:t xml:space="preserve"> v. Roseburg Forest Prods</w:t>
      </w:r>
      <w:r w:rsidRPr="006A4CD7">
        <w:rPr>
          <w:rFonts w:cs="Times New Roman"/>
          <w:szCs w:val="24"/>
        </w:rPr>
        <w:t>.,</w:t>
      </w:r>
      <w:r>
        <w:rPr>
          <w:rFonts w:cs="Times New Roman"/>
          <w:szCs w:val="24"/>
        </w:rPr>
        <w:t xml:space="preserve"> </w:t>
      </w:r>
      <w:r w:rsidRPr="006A4CD7">
        <w:rPr>
          <w:rFonts w:cs="Times New Roman"/>
          <w:szCs w:val="24"/>
        </w:rPr>
        <w:t>847 F.3d 678, 690 (9th Cir. 2017) (“[P]</w:t>
      </w:r>
      <w:proofErr w:type="spellStart"/>
      <w:r w:rsidRPr="006A4CD7">
        <w:rPr>
          <w:rFonts w:cs="Times New Roman"/>
          <w:szCs w:val="24"/>
        </w:rPr>
        <w:t>rompt</w:t>
      </w:r>
      <w:proofErr w:type="spellEnd"/>
      <w:r w:rsidRPr="006A4CD7">
        <w:rPr>
          <w:rFonts w:cs="Times New Roman"/>
          <w:szCs w:val="24"/>
        </w:rPr>
        <w:t xml:space="preserve"> action is not enough. The remedial measures must also be effective.”)</w:t>
      </w:r>
      <w:r w:rsidRPr="00180D33">
        <w:t xml:space="preserve">; </w:t>
      </w:r>
      <w:r w:rsidRPr="00180D33">
        <w:rPr>
          <w:i/>
          <w:iCs/>
        </w:rPr>
        <w:t>Christian v. Umpqua Bank</w:t>
      </w:r>
      <w:r w:rsidRPr="00180D33">
        <w:t>, 984</w:t>
      </w:r>
    </w:p>
    <w:p w14:paraId="4532B674" w14:textId="77777777" w:rsidR="002B7A9E" w:rsidRPr="00180D33" w:rsidRDefault="002B7A9E" w:rsidP="002B7A9E">
      <w:pPr>
        <w:autoSpaceDE w:val="0"/>
        <w:autoSpaceDN w:val="0"/>
        <w:adjustRightInd w:val="0"/>
        <w:rPr>
          <w:rFonts w:cs="Times New Roman"/>
          <w:szCs w:val="24"/>
        </w:rPr>
      </w:pPr>
      <w:r w:rsidRPr="00180D33">
        <w:rPr>
          <w:rFonts w:cs="Times New Roman"/>
          <w:szCs w:val="24"/>
        </w:rPr>
        <w:t>F.3d 801, 811 (9th Cir. 2020) (“Inaction is not a remedy ‘reasonably calculated to end the</w:t>
      </w:r>
    </w:p>
    <w:p w14:paraId="458E4C7E" w14:textId="77777777" w:rsidR="002B7A9E" w:rsidRPr="006A4CD7" w:rsidRDefault="002B7A9E" w:rsidP="002B7A9E">
      <w:pPr>
        <w:autoSpaceDE w:val="0"/>
        <w:autoSpaceDN w:val="0"/>
        <w:adjustRightInd w:val="0"/>
        <w:rPr>
          <w:rFonts w:cs="Times New Roman"/>
          <w:szCs w:val="24"/>
        </w:rPr>
      </w:pPr>
      <w:r w:rsidRPr="00180D33">
        <w:rPr>
          <w:rFonts w:cs="Times New Roman"/>
          <w:szCs w:val="24"/>
        </w:rPr>
        <w:t>harassment[.]’”).</w:t>
      </w:r>
    </w:p>
    <w:p w14:paraId="7F195B21" w14:textId="77777777" w:rsidR="002B7A9E" w:rsidRPr="006A4CD7" w:rsidRDefault="002B7A9E" w:rsidP="002B7A9E">
      <w:pPr>
        <w:autoSpaceDE w:val="0"/>
        <w:autoSpaceDN w:val="0"/>
        <w:adjustRightInd w:val="0"/>
        <w:rPr>
          <w:rFonts w:cs="Times New Roman"/>
          <w:szCs w:val="24"/>
        </w:rPr>
      </w:pPr>
    </w:p>
    <w:p w14:paraId="0479B115" w14:textId="589CB2F9" w:rsidR="002B7A9E" w:rsidRDefault="002B7A9E" w:rsidP="002B7A9E">
      <w:pPr>
        <w:autoSpaceDE w:val="0"/>
        <w:autoSpaceDN w:val="0"/>
        <w:adjustRightInd w:val="0"/>
        <w:rPr>
          <w:rFonts w:cs="Times New Roman"/>
          <w:szCs w:val="24"/>
        </w:rPr>
      </w:pPr>
      <w:r w:rsidRPr="006A4CD7">
        <w:rPr>
          <w:rFonts w:cs="Times New Roman"/>
          <w:szCs w:val="24"/>
        </w:rPr>
        <w:tab/>
        <w:t xml:space="preserve">For purposes of proving that the defendant “knew or reasonably should have known of the harassment,” it is appropriate to impute this knowledge to a defendant employer if a management-level employee of the employer defendant knew or reasonably should have known that harassment was occurring. </w:t>
      </w:r>
      <w:r w:rsidRPr="006A4CD7">
        <w:rPr>
          <w:rFonts w:cs="Times New Roman"/>
          <w:i/>
          <w:iCs/>
          <w:szCs w:val="24"/>
        </w:rPr>
        <w:t xml:space="preserve"> Swinton</w:t>
      </w:r>
      <w:r w:rsidRPr="006A4CD7">
        <w:rPr>
          <w:rFonts w:cs="Times New Roman"/>
          <w:szCs w:val="24"/>
        </w:rPr>
        <w:t>, 270 F.3d at 804.</w:t>
      </w:r>
    </w:p>
    <w:p w14:paraId="18BB1563" w14:textId="77777777" w:rsidR="005C3F6E" w:rsidRDefault="005C3F6E" w:rsidP="002B7A9E">
      <w:pPr>
        <w:autoSpaceDE w:val="0"/>
        <w:autoSpaceDN w:val="0"/>
        <w:adjustRightInd w:val="0"/>
        <w:rPr>
          <w:rFonts w:cs="Times New Roman"/>
          <w:szCs w:val="24"/>
        </w:rPr>
      </w:pPr>
    </w:p>
    <w:p w14:paraId="3634F2C7" w14:textId="21803B58" w:rsidR="005C3F6E" w:rsidRPr="005C3F6E" w:rsidRDefault="005C3F6E" w:rsidP="005C3F6E">
      <w:pPr>
        <w:autoSpaceDE w:val="0"/>
        <w:autoSpaceDN w:val="0"/>
        <w:adjustRightInd w:val="0"/>
        <w:ind w:firstLine="720"/>
        <w:rPr>
          <w:rFonts w:cs="Times New Roman"/>
          <w:color w:val="000000" w:themeColor="text1"/>
          <w:szCs w:val="24"/>
        </w:rPr>
      </w:pPr>
      <w:r>
        <w:rPr>
          <w:rFonts w:cs="Times New Roman"/>
          <w:color w:val="000000" w:themeColor="text1"/>
          <w:szCs w:val="24"/>
        </w:rPr>
        <w:lastRenderedPageBreak/>
        <w:t xml:space="preserve">In </w:t>
      </w:r>
      <w:bookmarkStart w:id="2" w:name="_Hlk175562248"/>
      <w:proofErr w:type="spellStart"/>
      <w:r w:rsidRPr="00826202">
        <w:rPr>
          <w:rFonts w:cs="Times New Roman"/>
          <w:i/>
          <w:iCs/>
          <w:color w:val="000000" w:themeColor="text1"/>
          <w:szCs w:val="24"/>
        </w:rPr>
        <w:t>Okonowsky</w:t>
      </w:r>
      <w:proofErr w:type="spellEnd"/>
      <w:r w:rsidRPr="00826202">
        <w:rPr>
          <w:rFonts w:cs="Times New Roman"/>
          <w:i/>
          <w:iCs/>
          <w:color w:val="000000" w:themeColor="text1"/>
          <w:szCs w:val="24"/>
        </w:rPr>
        <w:t xml:space="preserve"> v. Garland</w:t>
      </w:r>
      <w:r w:rsidRPr="005C6D75">
        <w:rPr>
          <w:rFonts w:cs="Times New Roman"/>
          <w:color w:val="000000" w:themeColor="text1"/>
          <w:szCs w:val="24"/>
        </w:rPr>
        <w:t>, 109 F.4th 1166 (9th Cir. 2024)</w:t>
      </w:r>
      <w:r>
        <w:rPr>
          <w:rFonts w:cs="Times New Roman"/>
          <w:color w:val="000000" w:themeColor="text1"/>
          <w:szCs w:val="24"/>
        </w:rPr>
        <w:t xml:space="preserve">, </w:t>
      </w:r>
      <w:bookmarkEnd w:id="2"/>
      <w:r>
        <w:rPr>
          <w:rFonts w:cs="Times New Roman"/>
          <w:color w:val="000000" w:themeColor="text1"/>
          <w:szCs w:val="24"/>
        </w:rPr>
        <w:t>the Ninth Circuit summarized the law governing a claim of subjecting a person to a sexually hostile work environment and explained that there are three factors: (1) </w:t>
      </w:r>
      <w:r w:rsidRPr="00453654">
        <w:rPr>
          <w:rFonts w:cs="Times New Roman"/>
          <w:color w:val="000000" w:themeColor="text1"/>
          <w:szCs w:val="24"/>
        </w:rPr>
        <w:t xml:space="preserve">whether </w:t>
      </w:r>
      <w:r>
        <w:rPr>
          <w:rFonts w:cs="Times New Roman"/>
          <w:color w:val="000000" w:themeColor="text1"/>
          <w:szCs w:val="24"/>
        </w:rPr>
        <w:t>the plaintiff</w:t>
      </w:r>
      <w:r w:rsidRPr="00453654">
        <w:rPr>
          <w:rFonts w:cs="Times New Roman"/>
          <w:color w:val="000000" w:themeColor="text1"/>
          <w:szCs w:val="24"/>
        </w:rPr>
        <w:t xml:space="preserve"> was subjected to verbal or physical conduct of a sexual nature; </w:t>
      </w:r>
      <w:r>
        <w:rPr>
          <w:rFonts w:cs="Times New Roman"/>
          <w:color w:val="000000" w:themeColor="text1"/>
          <w:szCs w:val="24"/>
        </w:rPr>
        <w:t>(</w:t>
      </w:r>
      <w:r w:rsidRPr="00453654">
        <w:rPr>
          <w:rFonts w:cs="Times New Roman"/>
          <w:color w:val="000000" w:themeColor="text1"/>
          <w:szCs w:val="24"/>
        </w:rPr>
        <w:t>2)</w:t>
      </w:r>
      <w:r>
        <w:rPr>
          <w:rFonts w:cs="Times New Roman"/>
          <w:color w:val="000000" w:themeColor="text1"/>
          <w:szCs w:val="24"/>
        </w:rPr>
        <w:t> </w:t>
      </w:r>
      <w:r w:rsidRPr="00453654">
        <w:rPr>
          <w:rFonts w:cs="Times New Roman"/>
          <w:color w:val="000000" w:themeColor="text1"/>
          <w:szCs w:val="24"/>
        </w:rPr>
        <w:t xml:space="preserve">whether the conduct was unwelcome; and </w:t>
      </w:r>
      <w:r>
        <w:rPr>
          <w:rFonts w:cs="Times New Roman"/>
          <w:color w:val="000000" w:themeColor="text1"/>
          <w:szCs w:val="24"/>
        </w:rPr>
        <w:t>(</w:t>
      </w:r>
      <w:r w:rsidRPr="00453654">
        <w:rPr>
          <w:rFonts w:cs="Times New Roman"/>
          <w:color w:val="000000" w:themeColor="text1"/>
          <w:szCs w:val="24"/>
        </w:rPr>
        <w:t>3)</w:t>
      </w:r>
      <w:r>
        <w:rPr>
          <w:rFonts w:cs="Times New Roman"/>
          <w:color w:val="000000" w:themeColor="text1"/>
          <w:szCs w:val="24"/>
        </w:rPr>
        <w:t> </w:t>
      </w:r>
      <w:r w:rsidRPr="00453654">
        <w:rPr>
          <w:rFonts w:cs="Times New Roman"/>
          <w:color w:val="000000" w:themeColor="text1"/>
          <w:szCs w:val="24"/>
        </w:rPr>
        <w:t xml:space="preserve">whether the conduct was sufficiently severe or pervasive to alter the conditions of employment and create an abusive working environment. </w:t>
      </w:r>
      <w:r w:rsidRPr="00826202">
        <w:rPr>
          <w:rFonts w:cs="Times New Roman"/>
          <w:i/>
          <w:iCs/>
          <w:color w:val="000000" w:themeColor="text1"/>
          <w:szCs w:val="24"/>
        </w:rPr>
        <w:t>Id</w:t>
      </w:r>
      <w:r>
        <w:rPr>
          <w:rFonts w:cs="Times New Roman"/>
          <w:color w:val="000000" w:themeColor="text1"/>
          <w:szCs w:val="24"/>
        </w:rPr>
        <w:t xml:space="preserve">. at 1178-79. The court also noted that </w:t>
      </w:r>
      <w:r w:rsidRPr="005C3F6E">
        <w:rPr>
          <w:rFonts w:cs="Times New Roman"/>
          <w:color w:val="000000" w:themeColor="text1"/>
          <w:szCs w:val="24"/>
        </w:rPr>
        <w:t>“[</w:t>
      </w:r>
      <w:proofErr w:type="spellStart"/>
      <w:r w:rsidRPr="005C3F6E">
        <w:rPr>
          <w:rFonts w:cs="Times New Roman"/>
          <w:color w:val="000000" w:themeColor="text1"/>
          <w:szCs w:val="24"/>
        </w:rPr>
        <w:t>i</w:t>
      </w:r>
      <w:proofErr w:type="spellEnd"/>
      <w:r w:rsidRPr="005C3F6E">
        <w:rPr>
          <w:rFonts w:cs="Times New Roman"/>
          <w:color w:val="000000" w:themeColor="text1"/>
          <w:szCs w:val="24"/>
        </w:rPr>
        <w:t>]n analyzing the objective hostility of a</w:t>
      </w:r>
      <w:r>
        <w:rPr>
          <w:rFonts w:cs="Times New Roman"/>
          <w:color w:val="000000" w:themeColor="text1"/>
          <w:szCs w:val="24"/>
        </w:rPr>
        <w:t xml:space="preserve"> </w:t>
      </w:r>
      <w:r w:rsidRPr="005C3F6E">
        <w:rPr>
          <w:rFonts w:cs="Times New Roman"/>
          <w:color w:val="000000" w:themeColor="text1"/>
          <w:szCs w:val="24"/>
        </w:rPr>
        <w:t>working environment,</w:t>
      </w:r>
      <w:r>
        <w:rPr>
          <w:rFonts w:cs="Times New Roman"/>
          <w:color w:val="000000" w:themeColor="text1"/>
          <w:szCs w:val="24"/>
        </w:rPr>
        <w:t xml:space="preserve"> </w:t>
      </w:r>
      <w:r w:rsidRPr="00DB698D">
        <w:rPr>
          <w:rFonts w:cs="Times New Roman"/>
          <w:color w:val="000000" w:themeColor="text1"/>
          <w:szCs w:val="24"/>
        </w:rPr>
        <w:t>we must look to the totality of the circumstances surrounding the plaintiff’s claim</w:t>
      </w:r>
      <w:r>
        <w:rPr>
          <w:rFonts w:cs="Times New Roman"/>
          <w:color w:val="000000" w:themeColor="text1"/>
          <w:szCs w:val="24"/>
        </w:rPr>
        <w:t xml:space="preserve">,” </w:t>
      </w:r>
      <w:r w:rsidRPr="00826202">
        <w:rPr>
          <w:rFonts w:cs="Times New Roman"/>
          <w:i/>
          <w:iCs/>
          <w:color w:val="000000" w:themeColor="text1"/>
          <w:szCs w:val="24"/>
        </w:rPr>
        <w:t>id</w:t>
      </w:r>
      <w:r>
        <w:rPr>
          <w:rFonts w:cs="Times New Roman"/>
          <w:color w:val="000000" w:themeColor="text1"/>
          <w:szCs w:val="24"/>
        </w:rPr>
        <w:t>. at 1179, and “</w:t>
      </w:r>
      <w:r w:rsidRPr="00DB698D">
        <w:rPr>
          <w:rFonts w:cs="Times New Roman"/>
          <w:color w:val="000000" w:themeColor="text1"/>
          <w:szCs w:val="24"/>
        </w:rPr>
        <w:t>conduct that took place outside of the physical work environment is part of the totality of the circumstances we evaluate when considering a hostile work environment claim</w:t>
      </w:r>
      <w:r>
        <w:rPr>
          <w:rFonts w:cs="Times New Roman"/>
          <w:color w:val="000000" w:themeColor="text1"/>
          <w:szCs w:val="24"/>
        </w:rPr>
        <w:t xml:space="preserve">.” </w:t>
      </w:r>
      <w:r w:rsidRPr="00826202">
        <w:rPr>
          <w:rFonts w:cs="Times New Roman"/>
          <w:i/>
          <w:iCs/>
          <w:color w:val="000000" w:themeColor="text1"/>
          <w:szCs w:val="24"/>
        </w:rPr>
        <w:t>Id</w:t>
      </w:r>
      <w:r>
        <w:rPr>
          <w:rFonts w:cs="Times New Roman"/>
          <w:color w:val="000000" w:themeColor="text1"/>
          <w:szCs w:val="24"/>
        </w:rPr>
        <w:t>. at 1180.</w:t>
      </w:r>
    </w:p>
    <w:p w14:paraId="4B8B3311" w14:textId="77777777" w:rsidR="002B7A9E" w:rsidRPr="006A4CD7" w:rsidRDefault="002B7A9E" w:rsidP="002B7A9E">
      <w:pPr>
        <w:autoSpaceDE w:val="0"/>
        <w:autoSpaceDN w:val="0"/>
        <w:adjustRightInd w:val="0"/>
        <w:rPr>
          <w:rFonts w:cs="Times New Roman"/>
          <w:szCs w:val="24"/>
        </w:rPr>
      </w:pPr>
    </w:p>
    <w:p w14:paraId="7E16FBC8" w14:textId="2CADC6D0" w:rsidR="00C30C2C" w:rsidRDefault="002B7A9E" w:rsidP="002B7A9E">
      <w:pPr>
        <w:autoSpaceDE w:val="0"/>
        <w:autoSpaceDN w:val="0"/>
        <w:adjustRightInd w:val="0"/>
        <w:jc w:val="right"/>
      </w:pPr>
      <w:r w:rsidRPr="006A4CD7">
        <w:rPr>
          <w:rFonts w:cs="Times New Roman"/>
          <w:i/>
          <w:iCs/>
          <w:szCs w:val="24"/>
        </w:rPr>
        <w:t xml:space="preserve">Revised </w:t>
      </w:r>
      <w:r w:rsidR="005C3F6E">
        <w:rPr>
          <w:rFonts w:cs="Times New Roman"/>
          <w:i/>
          <w:iCs/>
          <w:szCs w:val="24"/>
        </w:rPr>
        <w:t xml:space="preserve">September </w:t>
      </w:r>
      <w:r>
        <w:rPr>
          <w:rFonts w:cs="Times New Roman"/>
          <w:i/>
          <w:iCs/>
          <w:szCs w:val="24"/>
        </w:rPr>
        <w:t>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9E"/>
    <w:rsid w:val="001F1832"/>
    <w:rsid w:val="00235FFF"/>
    <w:rsid w:val="002B7A9E"/>
    <w:rsid w:val="005C3F6E"/>
    <w:rsid w:val="00695F6A"/>
    <w:rsid w:val="006E771A"/>
    <w:rsid w:val="00826202"/>
    <w:rsid w:val="00BC67C9"/>
    <w:rsid w:val="00C30C2C"/>
    <w:rsid w:val="00CF289F"/>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05C5C"/>
  <w15:chartTrackingRefBased/>
  <w15:docId w15:val="{27D946BA-258C-4C93-8541-86EB38D6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A9E"/>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B7A9E"/>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B7A9E"/>
    <w:rPr>
      <w:b/>
      <w:bCs/>
      <w:kern w:val="0"/>
      <w:sz w:val="24"/>
      <w:szCs w:val="24"/>
      <w14:ligatures w14:val="none"/>
    </w:rPr>
  </w:style>
  <w:style w:type="paragraph" w:styleId="Revision">
    <w:name w:val="Revision"/>
    <w:hidden/>
    <w:uiPriority w:val="99"/>
    <w:semiHidden/>
    <w:rsid w:val="005C3F6E"/>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2024-08-07T18:59:00Z</dcterms:created>
  <dcterms:modified xsi:type="dcterms:W3CDTF">2024-10-30T16:49:00Z</dcterms:modified>
</cp:coreProperties>
</file>