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E8B0" w14:textId="77777777" w:rsidR="0083510D" w:rsidRPr="006A4CD7" w:rsidRDefault="0083510D" w:rsidP="0083510D">
      <w:pPr>
        <w:pStyle w:val="Heading2"/>
      </w:pPr>
      <w:bookmarkStart w:id="0" w:name="_Toc167357297"/>
      <w:bookmarkStart w:id="1" w:name="_Hlk173444037"/>
      <w:r w:rsidRPr="006A4CD7">
        <w:t xml:space="preserve">10.8 </w:t>
      </w:r>
      <w:r w:rsidRPr="00893907">
        <w:t>Civil Rights—Title VII—Retaliation—Elements and Burden of Proof</w:t>
      </w:r>
      <w:bookmarkEnd w:id="0"/>
    </w:p>
    <w:bookmarkEnd w:id="1"/>
    <w:p w14:paraId="579B4C5A" w14:textId="77777777" w:rsidR="0083510D" w:rsidRPr="006A4CD7" w:rsidRDefault="0083510D" w:rsidP="0083510D"/>
    <w:p w14:paraId="7BCCFD2C"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The plaintiff seeks damages against the defendant for retaliation.  The plaintiff has the burden of proving each of the following elements by a preponderance of the evidence:</w:t>
      </w:r>
    </w:p>
    <w:p w14:paraId="02197115" w14:textId="77777777" w:rsidR="0083510D" w:rsidRPr="006A4CD7" w:rsidRDefault="0083510D" w:rsidP="0083510D">
      <w:pPr>
        <w:autoSpaceDE w:val="0"/>
        <w:autoSpaceDN w:val="0"/>
        <w:adjustRightInd w:val="0"/>
        <w:rPr>
          <w:rFonts w:cs="Times New Roman"/>
          <w:szCs w:val="24"/>
        </w:rPr>
      </w:pPr>
    </w:p>
    <w:p w14:paraId="2513DBEB" w14:textId="77777777" w:rsidR="0083510D" w:rsidRPr="006A4CD7" w:rsidRDefault="0083510D" w:rsidP="0083510D">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plaintiff:</w:t>
      </w:r>
    </w:p>
    <w:p w14:paraId="05E87D13" w14:textId="77777777" w:rsidR="0083510D" w:rsidRPr="006A4CD7" w:rsidRDefault="0083510D" w:rsidP="0083510D">
      <w:pPr>
        <w:autoSpaceDE w:val="0"/>
        <w:autoSpaceDN w:val="0"/>
        <w:adjustRightInd w:val="0"/>
        <w:rPr>
          <w:rFonts w:cs="Times New Roman"/>
          <w:szCs w:val="24"/>
        </w:rPr>
      </w:pPr>
    </w:p>
    <w:p w14:paraId="4312FCF2"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r>
      <w:r w:rsidRPr="006A4CD7">
        <w:rPr>
          <w:rFonts w:cs="Times New Roman"/>
          <w:szCs w:val="24"/>
        </w:rPr>
        <w:tab/>
        <w:t>[participated in an activity protected under federal law, that is [</w:t>
      </w:r>
      <w:r w:rsidRPr="006A4CD7">
        <w:rPr>
          <w:rFonts w:cs="Times New Roman"/>
          <w:i/>
          <w:iCs/>
          <w:szCs w:val="24"/>
          <w:u w:val="single"/>
        </w:rPr>
        <w:t xml:space="preserve">specify protected </w:t>
      </w:r>
      <w:r w:rsidRPr="006A4CD7">
        <w:rPr>
          <w:rFonts w:cs="Times New Roman"/>
          <w:i/>
          <w:iCs/>
          <w:szCs w:val="24"/>
        </w:rPr>
        <w:tab/>
      </w:r>
      <w:r w:rsidRPr="006A4CD7">
        <w:rPr>
          <w:rFonts w:cs="Times New Roman"/>
          <w:i/>
          <w:iCs/>
          <w:szCs w:val="24"/>
        </w:rPr>
        <w:tab/>
      </w:r>
      <w:r w:rsidRPr="006A4CD7">
        <w:rPr>
          <w:rFonts w:cs="Times New Roman"/>
          <w:i/>
          <w:iCs/>
          <w:szCs w:val="24"/>
          <w:u w:val="single"/>
        </w:rPr>
        <w:t>activity, e.g., filing a discrimination complaint</w:t>
      </w:r>
      <w:r w:rsidRPr="006A4CD7">
        <w:rPr>
          <w:rFonts w:cs="Times New Roman"/>
          <w:szCs w:val="24"/>
        </w:rPr>
        <w:t>]]</w:t>
      </w:r>
    </w:p>
    <w:p w14:paraId="4A7EAED9" w14:textId="77777777" w:rsidR="0083510D" w:rsidRPr="006A4CD7" w:rsidRDefault="0083510D" w:rsidP="0083510D">
      <w:pPr>
        <w:autoSpaceDE w:val="0"/>
        <w:autoSpaceDN w:val="0"/>
        <w:adjustRightInd w:val="0"/>
        <w:rPr>
          <w:rFonts w:cs="Times New Roman"/>
          <w:szCs w:val="24"/>
        </w:rPr>
      </w:pPr>
    </w:p>
    <w:p w14:paraId="790699FD" w14:textId="77777777" w:rsidR="0083510D" w:rsidRPr="006A4CD7" w:rsidRDefault="0083510D" w:rsidP="0083510D">
      <w:pPr>
        <w:autoSpaceDE w:val="0"/>
        <w:autoSpaceDN w:val="0"/>
        <w:adjustRightInd w:val="0"/>
        <w:jc w:val="center"/>
        <w:rPr>
          <w:rFonts w:cs="Times New Roman"/>
          <w:szCs w:val="24"/>
        </w:rPr>
      </w:pPr>
      <w:r w:rsidRPr="006A4CD7">
        <w:rPr>
          <w:rFonts w:cs="Times New Roman"/>
          <w:i/>
          <w:iCs/>
          <w:szCs w:val="24"/>
        </w:rPr>
        <w:t>or</w:t>
      </w:r>
    </w:p>
    <w:p w14:paraId="0D4E72FA" w14:textId="77777777" w:rsidR="0083510D" w:rsidRPr="006A4CD7" w:rsidRDefault="0083510D" w:rsidP="0083510D">
      <w:pPr>
        <w:autoSpaceDE w:val="0"/>
        <w:autoSpaceDN w:val="0"/>
        <w:adjustRightInd w:val="0"/>
        <w:rPr>
          <w:rFonts w:cs="Times New Roman"/>
          <w:szCs w:val="24"/>
        </w:rPr>
      </w:pPr>
    </w:p>
    <w:p w14:paraId="159DA23C" w14:textId="77777777" w:rsidR="0083510D" w:rsidRPr="006A4CD7" w:rsidRDefault="0083510D" w:rsidP="0083510D">
      <w:pPr>
        <w:autoSpaceDE w:val="0"/>
        <w:autoSpaceDN w:val="0"/>
        <w:adjustRightInd w:val="0"/>
        <w:ind w:left="1440"/>
        <w:rPr>
          <w:rFonts w:cs="Times New Roman"/>
          <w:szCs w:val="24"/>
        </w:rPr>
      </w:pPr>
      <w:r w:rsidRPr="006A4CD7">
        <w:rPr>
          <w:rFonts w:cs="Times New Roman"/>
          <w:szCs w:val="24"/>
        </w:rPr>
        <w:t>[opposed an unlawful employment practice, that is [</w:t>
      </w:r>
      <w:r w:rsidRPr="006A4CD7">
        <w:rPr>
          <w:rFonts w:cs="Times New Roman"/>
          <w:i/>
          <w:iCs/>
          <w:szCs w:val="24"/>
          <w:u w:val="single"/>
        </w:rPr>
        <w:t>specify unlawful employment practice</w:t>
      </w:r>
      <w:r w:rsidRPr="006A4CD7">
        <w:rPr>
          <w:rFonts w:cs="Times New Roman"/>
          <w:szCs w:val="24"/>
        </w:rPr>
        <w:t>]]; and</w:t>
      </w:r>
    </w:p>
    <w:p w14:paraId="5B65A13A" w14:textId="77777777" w:rsidR="0083510D" w:rsidRPr="006A4CD7" w:rsidRDefault="0083510D" w:rsidP="0083510D">
      <w:pPr>
        <w:autoSpaceDE w:val="0"/>
        <w:autoSpaceDN w:val="0"/>
        <w:adjustRightInd w:val="0"/>
        <w:rPr>
          <w:rFonts w:cs="Times New Roman"/>
          <w:szCs w:val="24"/>
        </w:rPr>
      </w:pPr>
    </w:p>
    <w:p w14:paraId="64E70835" w14:textId="77777777" w:rsidR="0083510D" w:rsidRPr="006A4CD7" w:rsidRDefault="0083510D" w:rsidP="0083510D">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employer subjected the plaintiff to an adverse employment action, that is [</w:t>
      </w:r>
      <w:r w:rsidRPr="00B0631D">
        <w:rPr>
          <w:rFonts w:cs="Times New Roman"/>
          <w:i/>
          <w:iCs/>
          <w:szCs w:val="24"/>
        </w:rPr>
        <w:t>specify adverse employment action</w:t>
      </w:r>
      <w:r w:rsidRPr="006A4CD7">
        <w:rPr>
          <w:rFonts w:cs="Times New Roman"/>
          <w:szCs w:val="24"/>
        </w:rPr>
        <w:t>]; and</w:t>
      </w:r>
    </w:p>
    <w:p w14:paraId="0E32C6CD" w14:textId="77777777" w:rsidR="0083510D" w:rsidRPr="006A4CD7" w:rsidRDefault="0083510D" w:rsidP="0083510D">
      <w:pPr>
        <w:autoSpaceDE w:val="0"/>
        <w:autoSpaceDN w:val="0"/>
        <w:adjustRightInd w:val="0"/>
        <w:ind w:left="1440" w:hanging="720"/>
        <w:rPr>
          <w:rFonts w:cs="Times New Roman"/>
          <w:szCs w:val="24"/>
        </w:rPr>
      </w:pPr>
    </w:p>
    <w:p w14:paraId="4D016F61" w14:textId="77777777" w:rsidR="0083510D" w:rsidRPr="006A4CD7" w:rsidRDefault="0083510D" w:rsidP="0083510D">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plaintiff was subjected to the adverse employment action because of [[his] [her]] [participation in a protected activity] [opposition to an unlawful employment practice].</w:t>
      </w:r>
    </w:p>
    <w:p w14:paraId="4B1AABF6" w14:textId="77777777" w:rsidR="0083510D" w:rsidRPr="006A4CD7" w:rsidRDefault="0083510D" w:rsidP="0083510D">
      <w:pPr>
        <w:autoSpaceDE w:val="0"/>
        <w:autoSpaceDN w:val="0"/>
        <w:adjustRightInd w:val="0"/>
        <w:rPr>
          <w:rFonts w:cs="Times New Roman"/>
          <w:i/>
          <w:iCs/>
          <w:szCs w:val="24"/>
        </w:rPr>
      </w:pPr>
    </w:p>
    <w:p w14:paraId="5943E065" w14:textId="77777777" w:rsidR="0083510D" w:rsidRPr="006A4CD7" w:rsidRDefault="0083510D" w:rsidP="0083510D">
      <w:pPr>
        <w:autoSpaceDE w:val="0"/>
        <w:autoSpaceDN w:val="0"/>
        <w:adjustRightInd w:val="0"/>
        <w:rPr>
          <w:rFonts w:cs="Times New Roman"/>
          <w:szCs w:val="24"/>
        </w:rPr>
      </w:pPr>
      <w:r w:rsidRPr="006A4CD7">
        <w:rPr>
          <w:rFonts w:cs="Times New Roman"/>
          <w:i/>
          <w:iCs/>
          <w:szCs w:val="24"/>
        </w:rPr>
        <w:tab/>
      </w:r>
      <w:r w:rsidRPr="006A4CD7">
        <w:rPr>
          <w:rFonts w:cs="Times New Roman"/>
          <w:szCs w:val="24"/>
        </w:rPr>
        <w:t>A plaintiff is “subjected to an adverse employment action” because of [[his] [her]] [participation in a protected activity] [opposition to an unlawful employment practice] if the adverse employment action would not have occurred but for that [participation] [opposition].</w:t>
      </w:r>
    </w:p>
    <w:p w14:paraId="1C046F57" w14:textId="77777777" w:rsidR="0083510D" w:rsidRPr="006A4CD7" w:rsidRDefault="0083510D" w:rsidP="0083510D">
      <w:pPr>
        <w:autoSpaceDE w:val="0"/>
        <w:autoSpaceDN w:val="0"/>
        <w:adjustRightInd w:val="0"/>
        <w:rPr>
          <w:rFonts w:cs="Times New Roman"/>
          <w:szCs w:val="24"/>
        </w:rPr>
      </w:pPr>
    </w:p>
    <w:p w14:paraId="71301E9D"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5E136E36" w14:textId="77777777" w:rsidR="0083510D" w:rsidRPr="006A4CD7" w:rsidRDefault="0083510D" w:rsidP="0083510D"/>
    <w:p w14:paraId="2A77ED27" w14:textId="77777777" w:rsidR="0083510D" w:rsidRDefault="0083510D" w:rsidP="0083510D">
      <w:pPr>
        <w:autoSpaceDE w:val="0"/>
        <w:autoSpaceDN w:val="0"/>
        <w:adjustRightInd w:val="0"/>
        <w:jc w:val="center"/>
        <w:rPr>
          <w:rFonts w:cs="Times New Roman"/>
          <w:b/>
          <w:bCs/>
          <w:szCs w:val="24"/>
        </w:rPr>
      </w:pPr>
      <w:r w:rsidRPr="006A4CD7">
        <w:rPr>
          <w:rFonts w:cs="Times New Roman"/>
          <w:b/>
          <w:bCs/>
          <w:szCs w:val="24"/>
        </w:rPr>
        <w:t>Comment</w:t>
      </w:r>
    </w:p>
    <w:p w14:paraId="55D1BB59" w14:textId="77777777" w:rsidR="0083510D" w:rsidRDefault="0083510D" w:rsidP="0083510D">
      <w:pPr>
        <w:autoSpaceDE w:val="0"/>
        <w:autoSpaceDN w:val="0"/>
        <w:adjustRightInd w:val="0"/>
        <w:jc w:val="center"/>
        <w:rPr>
          <w:rFonts w:cs="Times New Roman"/>
          <w:b/>
          <w:bCs/>
          <w:szCs w:val="24"/>
        </w:rPr>
      </w:pPr>
    </w:p>
    <w:p w14:paraId="6A0D186D" w14:textId="77777777" w:rsidR="0083510D" w:rsidRPr="001940D2" w:rsidRDefault="0083510D" w:rsidP="0083510D">
      <w:pPr>
        <w:autoSpaceDE w:val="0"/>
        <w:autoSpaceDN w:val="0"/>
        <w:adjustRightInd w:val="0"/>
        <w:rPr>
          <w:rFonts w:cs="Times New Roman"/>
          <w:b/>
          <w:bCs/>
          <w:szCs w:val="24"/>
        </w:rPr>
      </w:pPr>
      <w:r>
        <w:rPr>
          <w:rFonts w:cs="Times New Roman"/>
          <w:b/>
          <w:bCs/>
          <w:szCs w:val="24"/>
        </w:rPr>
        <w:tab/>
      </w:r>
      <w:r w:rsidRPr="001940D2">
        <w:rPr>
          <w:rFonts w:cs="Times New Roman"/>
          <w:color w:val="000000"/>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36EF84C" w14:textId="77777777" w:rsidR="0083510D" w:rsidRPr="006A4CD7" w:rsidRDefault="0083510D" w:rsidP="0083510D"/>
    <w:p w14:paraId="23384843"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6A4CD7">
        <w:rPr>
          <w:rFonts w:cs="Times New Roman"/>
          <w:i/>
          <w:iCs/>
          <w:szCs w:val="24"/>
        </w:rPr>
        <w:t xml:space="preserve">See Crawford v. Metro. Gov’t of Nashville &amp; Davidson </w:t>
      </w:r>
      <w:proofErr w:type="spellStart"/>
      <w:r w:rsidRPr="006A4CD7">
        <w:rPr>
          <w:rFonts w:cs="Times New Roman"/>
          <w:i/>
          <w:iCs/>
          <w:szCs w:val="24"/>
        </w:rPr>
        <w:t>Cty</w:t>
      </w:r>
      <w:proofErr w:type="spellEnd"/>
      <w:r w:rsidRPr="006A4CD7">
        <w:rPr>
          <w:rFonts w:cs="Times New Roman"/>
          <w:i/>
          <w:iCs/>
          <w:szCs w:val="24"/>
        </w:rPr>
        <w:t>., Tenn</w:t>
      </w:r>
      <w:r w:rsidRPr="006A4CD7">
        <w:rPr>
          <w:rFonts w:cs="Times New Roman"/>
          <w:szCs w:val="24"/>
        </w:rPr>
        <w:t>., 555</w:t>
      </w:r>
      <w:r>
        <w:rPr>
          <w:rFonts w:cs="Times New Roman"/>
          <w:szCs w:val="24"/>
        </w:rPr>
        <w:t xml:space="preserve"> </w:t>
      </w:r>
      <w:r w:rsidRPr="006A4CD7">
        <w:rPr>
          <w:rFonts w:cs="Times New Roman"/>
          <w:szCs w:val="24"/>
        </w:rPr>
        <w:t>U.S. 271, 274 (2009) (noting that the “antiretaliation provision has two clauses . . .. The one is</w:t>
      </w:r>
      <w:r>
        <w:rPr>
          <w:rFonts w:cs="Times New Roman"/>
          <w:szCs w:val="24"/>
        </w:rPr>
        <w:t xml:space="preserve"> </w:t>
      </w:r>
      <w:r w:rsidRPr="006A4CD7">
        <w:rPr>
          <w:rFonts w:cs="Times New Roman"/>
          <w:szCs w:val="24"/>
        </w:rPr>
        <w:t xml:space="preserve">known as the ‘opposition clause,’ the other as the ‘participation clause’”); </w:t>
      </w:r>
      <w:r w:rsidRPr="006A4CD7">
        <w:rPr>
          <w:rFonts w:cs="Times New Roman"/>
          <w:i/>
          <w:iCs/>
          <w:szCs w:val="24"/>
        </w:rPr>
        <w:t>Hashimoto v. Dalton</w:t>
      </w:r>
      <w:r w:rsidRPr="006A4CD7">
        <w:rPr>
          <w:rFonts w:cs="Times New Roman"/>
          <w:szCs w:val="24"/>
        </w:rPr>
        <w:t>,</w:t>
      </w:r>
      <w:r>
        <w:rPr>
          <w:rFonts w:cs="Times New Roman"/>
          <w:szCs w:val="24"/>
        </w:rPr>
        <w:t xml:space="preserve"> </w:t>
      </w:r>
      <w:r w:rsidRPr="006A4CD7">
        <w:rPr>
          <w:rFonts w:cs="Times New Roman"/>
          <w:szCs w:val="24"/>
        </w:rPr>
        <w:t>118 F.3d 671, 680 (9th Cir. 1997) (“An employer can violate the anti-retaliation provisions of</w:t>
      </w:r>
      <w:r>
        <w:rPr>
          <w:rFonts w:cs="Times New Roman"/>
          <w:szCs w:val="24"/>
        </w:rPr>
        <w:t xml:space="preserve"> </w:t>
      </w:r>
      <w:r w:rsidRPr="006A4CD7">
        <w:rPr>
          <w:rFonts w:cs="Times New Roman"/>
          <w:szCs w:val="24"/>
        </w:rPr>
        <w:t>Title VII in either of two ways: ‘(1) if the [adverse employment action] occurs because of the</w:t>
      </w:r>
      <w:r>
        <w:rPr>
          <w:rFonts w:cs="Times New Roman"/>
          <w:szCs w:val="24"/>
        </w:rPr>
        <w:t xml:space="preserve"> </w:t>
      </w:r>
      <w:r w:rsidRPr="006A4CD7">
        <w:rPr>
          <w:rFonts w:cs="Times New Roman"/>
          <w:szCs w:val="24"/>
        </w:rPr>
        <w:lastRenderedPageBreak/>
        <w:t>employee’s opposition to conduct made an unlawful employment practice by the subchapter, or</w:t>
      </w:r>
      <w:r>
        <w:rPr>
          <w:rFonts w:cs="Times New Roman"/>
          <w:szCs w:val="24"/>
        </w:rPr>
        <w:t xml:space="preserve"> </w:t>
      </w:r>
      <w:r w:rsidRPr="006A4CD7">
        <w:rPr>
          <w:rFonts w:cs="Times New Roman"/>
          <w:szCs w:val="24"/>
        </w:rPr>
        <w:t>(2) if it is in retaliation for the employee’s participation in the machinery set up by Title VII to</w:t>
      </w:r>
      <w:r>
        <w:rPr>
          <w:rFonts w:cs="Times New Roman"/>
          <w:szCs w:val="24"/>
        </w:rPr>
        <w:t xml:space="preserve"> </w:t>
      </w:r>
    </w:p>
    <w:p w14:paraId="41390536" w14:textId="77777777" w:rsidR="0083510D" w:rsidRDefault="0083510D" w:rsidP="0083510D">
      <w:pPr>
        <w:autoSpaceDE w:val="0"/>
        <w:autoSpaceDN w:val="0"/>
        <w:adjustRightInd w:val="0"/>
        <w:rPr>
          <w:rFonts w:cs="Times New Roman"/>
          <w:szCs w:val="24"/>
        </w:rPr>
      </w:pPr>
      <w:r w:rsidRPr="006A4CD7">
        <w:rPr>
          <w:rFonts w:cs="Times New Roman"/>
          <w:szCs w:val="24"/>
        </w:rPr>
        <w:t>enforce its provisions.’” (alterations in original) (citations omitted)).</w:t>
      </w:r>
    </w:p>
    <w:p w14:paraId="4389BE69" w14:textId="77777777" w:rsidR="0083510D" w:rsidRPr="006A4CD7" w:rsidRDefault="0083510D" w:rsidP="0083510D">
      <w:pPr>
        <w:autoSpaceDE w:val="0"/>
        <w:autoSpaceDN w:val="0"/>
        <w:adjustRightInd w:val="0"/>
        <w:rPr>
          <w:rFonts w:cs="Times New Roman"/>
          <w:szCs w:val="24"/>
        </w:rPr>
      </w:pPr>
    </w:p>
    <w:p w14:paraId="165A9B2A"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2CFF45A5"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 xml:space="preserve">For a definition of “adverse employment action” in the context of retaliation, </w:t>
      </w:r>
      <w:r w:rsidRPr="006A4CD7">
        <w:rPr>
          <w:rFonts w:cs="Times New Roman"/>
          <w:i/>
          <w:iCs/>
          <w:szCs w:val="24"/>
        </w:rPr>
        <w:t>see</w:t>
      </w:r>
      <w:r w:rsidRPr="006A4CD7">
        <w:rPr>
          <w:rFonts w:cs="Times New Roman"/>
          <w:szCs w:val="24"/>
        </w:rPr>
        <w:t xml:space="preserve"> Instruction 10.10 (Civil Rights—Title VII— “Adverse Employment Action” in Retaliation Cases).</w:t>
      </w:r>
    </w:p>
    <w:p w14:paraId="581F84EF" w14:textId="77777777" w:rsidR="0083510D" w:rsidRPr="006A4CD7" w:rsidRDefault="0083510D" w:rsidP="0083510D">
      <w:pPr>
        <w:autoSpaceDE w:val="0"/>
        <w:autoSpaceDN w:val="0"/>
        <w:adjustRightInd w:val="0"/>
        <w:rPr>
          <w:rFonts w:cs="Times New Roman"/>
          <w:szCs w:val="24"/>
        </w:rPr>
      </w:pPr>
    </w:p>
    <w:p w14:paraId="4C3BB54B" w14:textId="470B9FC1" w:rsidR="0083510D" w:rsidRPr="00180D33" w:rsidRDefault="0083510D" w:rsidP="0083510D">
      <w:pPr>
        <w:adjustRightInd w:val="0"/>
      </w:pPr>
      <w:r w:rsidRPr="006A4CD7">
        <w:rPr>
          <w:rFonts w:cs="Times New Roman"/>
          <w:szCs w:val="24"/>
        </w:rPr>
        <w:tab/>
        <w:t xml:space="preserve">In order to be a protected activity, the plaintiff’s opposition must have been directed toward a discriminatory act by an employer or an agent of an employer.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E.E.O.C. v. Crown </w:t>
      </w:r>
      <w:proofErr w:type="spellStart"/>
      <w:r w:rsidRPr="006A4CD7">
        <w:rPr>
          <w:rFonts w:cs="Times New Roman"/>
          <w:i/>
          <w:iCs/>
          <w:szCs w:val="24"/>
        </w:rPr>
        <w:t>Zellerbach</w:t>
      </w:r>
      <w:proofErr w:type="spellEnd"/>
      <w:r w:rsidRPr="006A4CD7">
        <w:rPr>
          <w:rFonts w:cs="Times New Roman"/>
          <w:i/>
          <w:iCs/>
          <w:szCs w:val="24"/>
        </w:rPr>
        <w:t xml:space="preserve"> Corp.</w:t>
      </w:r>
      <w:r w:rsidRPr="006A4CD7">
        <w:rPr>
          <w:rFonts w:cs="Times New Roman"/>
          <w:szCs w:val="24"/>
        </w:rPr>
        <w:t>, 720 F.2d 1008, 1013-14 (9th Cir. 1983) (holding that employee’s objections to discriminatory practices by warehouse personnel manager, on facts presented, constituted opposition to discriminatory actions of employer)</w:t>
      </w:r>
      <w:r w:rsidRPr="00180D33">
        <w:t xml:space="preserve">; </w:t>
      </w:r>
      <w:r w:rsidRPr="00180D33">
        <w:rPr>
          <w:i/>
          <w:iCs/>
        </w:rPr>
        <w:t xml:space="preserve">Trent v. Valley Elec. </w:t>
      </w:r>
      <w:proofErr w:type="spellStart"/>
      <w:r w:rsidRPr="00180D33">
        <w:rPr>
          <w:i/>
          <w:iCs/>
        </w:rPr>
        <w:t>Ass’n</w:t>
      </w:r>
      <w:proofErr w:type="spellEnd"/>
      <w:r w:rsidRPr="00180D33">
        <w:t>, 41</w:t>
      </w:r>
    </w:p>
    <w:p w14:paraId="29A6CA60" w14:textId="77777777" w:rsidR="0083510D" w:rsidRPr="006A4CD7" w:rsidRDefault="0083510D" w:rsidP="0083510D">
      <w:pPr>
        <w:autoSpaceDE w:val="0"/>
        <w:autoSpaceDN w:val="0"/>
        <w:adjustRightInd w:val="0"/>
        <w:rPr>
          <w:rFonts w:cs="Times New Roman"/>
          <w:szCs w:val="24"/>
        </w:rPr>
      </w:pPr>
      <w:r w:rsidRPr="00180D33">
        <w:rPr>
          <w:rFonts w:cs="Times New Roman"/>
          <w:szCs w:val="24"/>
        </w:rPr>
        <w:t>F.3d 524, 526 (9th Cir. 1994) (</w:t>
      </w:r>
      <w:r>
        <w:rPr>
          <w:rFonts w:cs="Times New Roman"/>
          <w:szCs w:val="24"/>
        </w:rPr>
        <w:t xml:space="preserve">stating that </w:t>
      </w:r>
      <w:r w:rsidRPr="00180D33">
        <w:rPr>
          <w:rFonts w:cs="Times New Roman"/>
          <w:szCs w:val="24"/>
        </w:rPr>
        <w:t>employee only needs to show “reasonable belief” that conduct</w:t>
      </w:r>
      <w:r>
        <w:rPr>
          <w:rFonts w:cs="Times New Roman"/>
          <w:szCs w:val="24"/>
        </w:rPr>
        <w:t xml:space="preserve"> </w:t>
      </w:r>
      <w:r w:rsidRPr="00180D33">
        <w:rPr>
          <w:rFonts w:cs="Times New Roman"/>
          <w:szCs w:val="24"/>
        </w:rPr>
        <w:t>being opposed was discriminatory)</w:t>
      </w:r>
      <w:r w:rsidRPr="006A4CD7">
        <w:rPr>
          <w:rFonts w:cs="Times New Roman"/>
          <w:szCs w:val="24"/>
        </w:rPr>
        <w:t>.</w:t>
      </w:r>
    </w:p>
    <w:p w14:paraId="7EAE8D54" w14:textId="77777777" w:rsidR="0083510D" w:rsidRPr="006A4CD7" w:rsidRDefault="0083510D" w:rsidP="0083510D">
      <w:pPr>
        <w:autoSpaceDE w:val="0"/>
        <w:autoSpaceDN w:val="0"/>
        <w:adjustRightInd w:val="0"/>
        <w:rPr>
          <w:rFonts w:cs="Times New Roman"/>
          <w:szCs w:val="24"/>
        </w:rPr>
      </w:pPr>
    </w:p>
    <w:p w14:paraId="0970C229"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 xml:space="preserve">Informal as well as formal complaints or demands are protected activities under Title VII.  </w:t>
      </w:r>
      <w:r w:rsidRPr="006A4CD7">
        <w:rPr>
          <w:rFonts w:cs="Times New Roman"/>
          <w:i/>
          <w:iCs/>
          <w:szCs w:val="24"/>
        </w:rPr>
        <w:t xml:space="preserve">See </w:t>
      </w:r>
      <w:proofErr w:type="spellStart"/>
      <w:r w:rsidRPr="006A4CD7">
        <w:rPr>
          <w:rFonts w:cs="Times New Roman"/>
          <w:i/>
          <w:iCs/>
          <w:szCs w:val="24"/>
        </w:rPr>
        <w:t>Passantino</w:t>
      </w:r>
      <w:proofErr w:type="spellEnd"/>
      <w:r w:rsidRPr="006A4CD7">
        <w:rPr>
          <w:rFonts w:cs="Times New Roman"/>
          <w:i/>
          <w:iCs/>
          <w:szCs w:val="24"/>
        </w:rPr>
        <w:t xml:space="preserve"> v. Johnson &amp; Johnson Consumer Prods., Inc.</w:t>
      </w:r>
      <w:r w:rsidRPr="006A4CD7">
        <w:rPr>
          <w:rFonts w:cs="Times New Roman"/>
          <w:szCs w:val="24"/>
        </w:rPr>
        <w:t>, 212 F.3d 493, 506 (9th Cir. 2000).</w:t>
      </w:r>
    </w:p>
    <w:p w14:paraId="45D54F13" w14:textId="77777777" w:rsidR="0083510D" w:rsidRPr="006A4CD7" w:rsidRDefault="0083510D" w:rsidP="0083510D">
      <w:pPr>
        <w:autoSpaceDE w:val="0"/>
        <w:autoSpaceDN w:val="0"/>
        <w:adjustRightInd w:val="0"/>
        <w:rPr>
          <w:rFonts w:cs="Times New Roman"/>
          <w:szCs w:val="24"/>
        </w:rPr>
      </w:pPr>
    </w:p>
    <w:p w14:paraId="23475DE0" w14:textId="0458B0E6" w:rsidR="0083510D" w:rsidRPr="006A4CD7" w:rsidRDefault="0083510D" w:rsidP="0083510D">
      <w:pPr>
        <w:autoSpaceDE w:val="0"/>
        <w:autoSpaceDN w:val="0"/>
        <w:adjustRightInd w:val="0"/>
        <w:rPr>
          <w:rFonts w:cs="Times New Roman"/>
          <w:szCs w:val="24"/>
        </w:rPr>
      </w:pPr>
      <w:r w:rsidRPr="006A4CD7">
        <w:rPr>
          <w:rFonts w:cs="Times New Roman"/>
          <w:szCs w:val="24"/>
        </w:rPr>
        <w:tab/>
        <w:t xml:space="preserve">Regarding the third element, “a plaintiff making a retaliation claim under § 2000e-3(a) must establish that his or her protected activity was a </w:t>
      </w:r>
      <w:proofErr w:type="spellStart"/>
      <w:r w:rsidRPr="006A4CD7">
        <w:rPr>
          <w:rFonts w:cs="Times New Roman"/>
          <w:szCs w:val="24"/>
        </w:rPr>
        <w:t>but</w:t>
      </w:r>
      <w:proofErr w:type="spellEnd"/>
      <w:r w:rsidRPr="006A4CD7">
        <w:rPr>
          <w:rFonts w:cs="Times New Roman"/>
          <w:szCs w:val="24"/>
        </w:rPr>
        <w:t xml:space="preserve">-for cause of the alleged adverse action by the employer.”  </w:t>
      </w:r>
      <w:r w:rsidRPr="006A4CD7">
        <w:rPr>
          <w:rFonts w:cs="Times New Roman"/>
          <w:i/>
          <w:iCs/>
          <w:szCs w:val="24"/>
        </w:rPr>
        <w:t>Univ. of Tex. Sw. Med. Ctr. v. Nassar</w:t>
      </w:r>
      <w:r w:rsidRPr="006A4CD7">
        <w:rPr>
          <w:rFonts w:cs="Times New Roman"/>
          <w:szCs w:val="24"/>
        </w:rPr>
        <w:t>, 133 S. Ct. 2517, 2534 (2013) (rejecting motivating factor test in retaliation claim).  The causation element may be inferred based on the</w:t>
      </w:r>
      <w:r>
        <w:rPr>
          <w:rFonts w:cs="Times New Roman"/>
          <w:szCs w:val="24"/>
        </w:rPr>
        <w:t xml:space="preserve"> </w:t>
      </w:r>
      <w:r w:rsidRPr="006A4CD7">
        <w:rPr>
          <w:rFonts w:cs="Times New Roman"/>
          <w:szCs w:val="24"/>
        </w:rPr>
        <w:t>proximity in time between the protected action and the retaliatory act</w:t>
      </w:r>
      <w:r w:rsidRPr="0083510D">
        <w:rPr>
          <w14:ligatures w14:val="none"/>
        </w:rPr>
        <w:t xml:space="preserve"> </w:t>
      </w:r>
      <w:r w:rsidRPr="0083510D">
        <w:rPr>
          <w:rFonts w:cs="Times New Roman"/>
          <w:szCs w:val="24"/>
        </w:rPr>
        <w:t>“when there is a close proximity between the two.”</w:t>
      </w:r>
      <w:r w:rsidR="0088666E">
        <w:rPr>
          <w:rFonts w:cs="Times New Roman"/>
          <w:szCs w:val="24"/>
        </w:rPr>
        <w:t xml:space="preserve">  </w:t>
      </w:r>
      <w:r w:rsidRPr="0083510D">
        <w:rPr>
          <w:rFonts w:cs="Times New Roman"/>
          <w:i/>
          <w:iCs/>
          <w:szCs w:val="24"/>
        </w:rPr>
        <w:t>Thomas v. City of Beaverton</w:t>
      </w:r>
      <w:r w:rsidRPr="0083510D">
        <w:rPr>
          <w:rFonts w:cs="Times New Roman"/>
          <w:szCs w:val="24"/>
        </w:rPr>
        <w:t>, 379 F.3d 802, 812 (9th Cir. 2004)</w:t>
      </w:r>
      <w:r w:rsidRPr="006A4CD7">
        <w:rPr>
          <w:rFonts w:cs="Times New Roman"/>
          <w:szCs w:val="24"/>
        </w:rPr>
        <w:t xml:space="preserve">; </w:t>
      </w:r>
      <w:r w:rsidRPr="006A4CD7">
        <w:rPr>
          <w:rFonts w:cs="Times New Roman"/>
          <w:i/>
          <w:iCs/>
          <w:szCs w:val="24"/>
        </w:rPr>
        <w:t>Clark County Sch. Dist. v. Breeden</w:t>
      </w:r>
      <w:r w:rsidRPr="006A4CD7">
        <w:rPr>
          <w:rFonts w:cs="Times New Roman"/>
          <w:szCs w:val="24"/>
        </w:rPr>
        <w:t>, 532 U.S. 268, 273-74</w:t>
      </w:r>
      <w:r>
        <w:rPr>
          <w:rFonts w:cs="Times New Roman"/>
          <w:szCs w:val="24"/>
        </w:rPr>
        <w:t xml:space="preserve"> </w:t>
      </w:r>
      <w:r w:rsidRPr="006A4CD7">
        <w:rPr>
          <w:rFonts w:cs="Times New Roman"/>
          <w:szCs w:val="24"/>
        </w:rPr>
        <w:t>(2001). There is no per se too long or too short period of time that satisfies the causation</w:t>
      </w:r>
      <w:r>
        <w:rPr>
          <w:rFonts w:cs="Times New Roman"/>
          <w:szCs w:val="24"/>
        </w:rPr>
        <w:t xml:space="preserve"> </w:t>
      </w:r>
      <w:r w:rsidRPr="006A4CD7">
        <w:rPr>
          <w:rFonts w:cs="Times New Roman"/>
          <w:szCs w:val="24"/>
        </w:rPr>
        <w:t xml:space="preserve">requirement.  </w:t>
      </w:r>
      <w:r w:rsidRPr="006A4CD7">
        <w:rPr>
          <w:rFonts w:cs="Times New Roman"/>
          <w:i/>
          <w:iCs/>
          <w:szCs w:val="24"/>
        </w:rPr>
        <w:t>Howard v. City of Coos Bay</w:t>
      </w:r>
      <w:r w:rsidRPr="006A4CD7">
        <w:rPr>
          <w:rFonts w:cs="Times New Roman"/>
          <w:szCs w:val="24"/>
        </w:rPr>
        <w:t>, 871 F.3d 1032, 1046 (9th Cir. 2017).</w:t>
      </w:r>
    </w:p>
    <w:p w14:paraId="03E92947" w14:textId="77777777" w:rsidR="0083510D" w:rsidRPr="006A4CD7" w:rsidRDefault="0083510D" w:rsidP="0083510D">
      <w:pPr>
        <w:autoSpaceDE w:val="0"/>
        <w:autoSpaceDN w:val="0"/>
        <w:adjustRightInd w:val="0"/>
        <w:rPr>
          <w:rFonts w:cs="Times New Roman"/>
          <w:szCs w:val="24"/>
        </w:rPr>
      </w:pPr>
    </w:p>
    <w:p w14:paraId="22E14689" w14:textId="77777777" w:rsidR="0083510D" w:rsidRPr="006A4CD7" w:rsidRDefault="0083510D" w:rsidP="0083510D">
      <w:pPr>
        <w:autoSpaceDE w:val="0"/>
        <w:autoSpaceDN w:val="0"/>
        <w:adjustRightInd w:val="0"/>
        <w:rPr>
          <w:rFonts w:cs="Times New Roman"/>
          <w:szCs w:val="24"/>
        </w:rPr>
      </w:pPr>
      <w:r w:rsidRPr="006A4CD7">
        <w:rPr>
          <w:rFonts w:cs="Times New Roman"/>
          <w:szCs w:val="24"/>
        </w:rPr>
        <w:tab/>
        <w:t>Individuals who violate 42 U.S.C. § 1981 for retaliatory conduct can be held personally</w:t>
      </w:r>
      <w:r>
        <w:rPr>
          <w:rFonts w:cs="Times New Roman"/>
          <w:szCs w:val="24"/>
        </w:rPr>
        <w:t xml:space="preserve"> </w:t>
      </w:r>
      <w:r w:rsidRPr="006A4CD7">
        <w:rPr>
          <w:rFonts w:cs="Times New Roman"/>
          <w:szCs w:val="24"/>
        </w:rPr>
        <w:t>liable for punitive damages “1) if they participated in the deprivation of Plaintiffs’ constitutional</w:t>
      </w:r>
      <w:r>
        <w:rPr>
          <w:rFonts w:cs="Times New Roman"/>
          <w:szCs w:val="24"/>
        </w:rPr>
        <w:t xml:space="preserve"> </w:t>
      </w:r>
      <w:r w:rsidRPr="006A4CD7">
        <w:rPr>
          <w:rFonts w:cs="Times New Roman"/>
          <w:szCs w:val="24"/>
        </w:rPr>
        <w:t>rights; 2) for their own culpable action or inaction in the training, supervision, or control of their</w:t>
      </w:r>
      <w:r>
        <w:rPr>
          <w:rFonts w:cs="Times New Roman"/>
          <w:szCs w:val="24"/>
        </w:rPr>
        <w:t xml:space="preserve"> </w:t>
      </w:r>
      <w:r w:rsidRPr="006A4CD7">
        <w:rPr>
          <w:rFonts w:cs="Times New Roman"/>
          <w:szCs w:val="24"/>
        </w:rPr>
        <w:t>subordinates; 3) for their acquiescence in the constitutional deprivations; or 4) for conduct that</w:t>
      </w:r>
      <w:r>
        <w:rPr>
          <w:rFonts w:cs="Times New Roman"/>
          <w:szCs w:val="24"/>
        </w:rPr>
        <w:t xml:space="preserve"> </w:t>
      </w:r>
      <w:r w:rsidRPr="006A4CD7">
        <w:rPr>
          <w:rFonts w:cs="Times New Roman"/>
          <w:szCs w:val="24"/>
        </w:rPr>
        <w:t xml:space="preserve">showed a reckless or callous indifference to the rights of others.”  </w:t>
      </w:r>
      <w:r w:rsidRPr="006A4CD7">
        <w:rPr>
          <w:rFonts w:cs="Times New Roman"/>
          <w:i/>
          <w:iCs/>
          <w:szCs w:val="24"/>
        </w:rPr>
        <w:t>Flores v. City of Westminster</w:t>
      </w:r>
      <w:r w:rsidRPr="006A4CD7">
        <w:rPr>
          <w:rFonts w:cs="Times New Roman"/>
          <w:szCs w:val="24"/>
        </w:rPr>
        <w:t>,</w:t>
      </w:r>
      <w:r>
        <w:rPr>
          <w:rFonts w:cs="Times New Roman"/>
          <w:szCs w:val="24"/>
        </w:rPr>
        <w:t xml:space="preserve"> </w:t>
      </w:r>
      <w:r w:rsidRPr="006A4CD7">
        <w:rPr>
          <w:rFonts w:cs="Times New Roman"/>
          <w:szCs w:val="24"/>
        </w:rPr>
        <w:t>873 F.3d 739, 757 (9th Cir. 2017).</w:t>
      </w:r>
    </w:p>
    <w:p w14:paraId="375BC305" w14:textId="77777777" w:rsidR="0083510D" w:rsidRPr="006A4CD7" w:rsidRDefault="0083510D" w:rsidP="0083510D">
      <w:pPr>
        <w:autoSpaceDE w:val="0"/>
        <w:autoSpaceDN w:val="0"/>
        <w:adjustRightInd w:val="0"/>
        <w:rPr>
          <w:rFonts w:cs="Times New Roman"/>
          <w:szCs w:val="24"/>
        </w:rPr>
      </w:pPr>
    </w:p>
    <w:p w14:paraId="56557B12" w14:textId="77777777" w:rsidR="0083510D" w:rsidRPr="006A4CD7" w:rsidRDefault="0083510D" w:rsidP="0083510D">
      <w:pPr>
        <w:autoSpaceDE w:val="0"/>
        <w:autoSpaceDN w:val="0"/>
        <w:adjustRightInd w:val="0"/>
        <w:rPr>
          <w:rFonts w:cs="Times New Roman"/>
          <w:szCs w:val="24"/>
        </w:rPr>
      </w:pPr>
    </w:p>
    <w:p w14:paraId="285F3CBB" w14:textId="339465C9" w:rsidR="0083510D" w:rsidRPr="006A4CD7" w:rsidRDefault="0083510D" w:rsidP="0083510D">
      <w:pPr>
        <w:autoSpaceDE w:val="0"/>
        <w:autoSpaceDN w:val="0"/>
        <w:adjustRightInd w:val="0"/>
        <w:jc w:val="right"/>
        <w:rPr>
          <w:rFonts w:cs="Times New Roman"/>
          <w:szCs w:val="24"/>
        </w:rPr>
      </w:pPr>
      <w:r w:rsidRPr="006A4CD7">
        <w:rPr>
          <w:rFonts w:cs="Times New Roman"/>
          <w:i/>
          <w:iCs/>
          <w:szCs w:val="24"/>
        </w:rPr>
        <w:t xml:space="preserve">Revised </w:t>
      </w:r>
      <w:r>
        <w:rPr>
          <w:rFonts w:cs="Times New Roman"/>
          <w:i/>
          <w:iCs/>
          <w:szCs w:val="24"/>
        </w:rPr>
        <w:t>June 2024</w:t>
      </w:r>
    </w:p>
    <w:p w14:paraId="144D00A3" w14:textId="4509D2B8" w:rsidR="00FE7F82" w:rsidRDefault="00FE7F82" w:rsidP="006431AE">
      <w:pPr>
        <w:pStyle w:val="Heading2"/>
        <w:jc w:val="left"/>
      </w:pPr>
    </w:p>
    <w:sectPr w:rsidR="00FE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0D"/>
    <w:rsid w:val="00172C67"/>
    <w:rsid w:val="002A6AB1"/>
    <w:rsid w:val="006431AE"/>
    <w:rsid w:val="007D6FBC"/>
    <w:rsid w:val="0083510D"/>
    <w:rsid w:val="0088666E"/>
    <w:rsid w:val="00887257"/>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0252"/>
  <w15:chartTrackingRefBased/>
  <w15:docId w15:val="{1140AF27-9D1F-4CB2-B484-59DD6EE5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0D"/>
    <w:pPr>
      <w:spacing w:after="0" w:line="240" w:lineRule="auto"/>
    </w:pPr>
    <w:rPr>
      <w:rFonts w:ascii="Times New Roman" w:hAnsi="Times New Roman"/>
      <w:kern w:val="0"/>
      <w:sz w:val="24"/>
    </w:rPr>
  </w:style>
  <w:style w:type="paragraph" w:styleId="Heading2">
    <w:name w:val="heading 2"/>
    <w:basedOn w:val="Normal"/>
    <w:next w:val="Normal"/>
    <w:link w:val="Heading2Char"/>
    <w:uiPriority w:val="9"/>
    <w:unhideWhenUsed/>
    <w:qFormat/>
    <w:rsid w:val="0083510D"/>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510D"/>
    <w:rPr>
      <w:rFonts w:ascii="Times New Roman" w:hAnsi="Times New Roman" w:cs="Times New Roman"/>
      <w:b/>
      <w:bCs/>
      <w:kern w:val="0"/>
      <w:sz w:val="24"/>
      <w:szCs w:val="24"/>
    </w:rPr>
  </w:style>
  <w:style w:type="paragraph" w:styleId="Revision">
    <w:name w:val="Revision"/>
    <w:hidden/>
    <w:uiPriority w:val="99"/>
    <w:semiHidden/>
    <w:rsid w:val="0083510D"/>
    <w:pPr>
      <w:spacing w:after="0" w:line="240" w:lineRule="auto"/>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5</cp:revision>
  <dcterms:created xsi:type="dcterms:W3CDTF">2024-08-20T15:30:00Z</dcterms:created>
  <dcterms:modified xsi:type="dcterms:W3CDTF">2024-08-20T22:09:00Z</dcterms:modified>
</cp:coreProperties>
</file>