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2680" w14:textId="77777777" w:rsidR="00D60BFC" w:rsidRPr="00D60BFC" w:rsidRDefault="00D60BFC" w:rsidP="00D60BFC">
      <w:pPr>
        <w:autoSpaceDE w:val="0"/>
        <w:autoSpaceDN w:val="0"/>
        <w:adjustRightInd w:val="0"/>
        <w:spacing w:after="0" w:line="240" w:lineRule="auto"/>
        <w:rPr>
          <w:rFonts w:ascii="Times New Roman" w:hAnsi="Times New Roman" w:cs="Times New Roman"/>
          <w:sz w:val="28"/>
          <w:szCs w:val="28"/>
        </w:rPr>
      </w:pPr>
      <w:r w:rsidRPr="00D60BFC">
        <w:rPr>
          <w:rFonts w:ascii="Times New Roman" w:hAnsi="Times New Roman" w:cs="Times New Roman"/>
          <w:sz w:val="24"/>
          <w:szCs w:val="24"/>
          <w:lang w:val="en-CA"/>
        </w:rPr>
        <w:fldChar w:fldCharType="begin"/>
      </w:r>
      <w:r w:rsidRPr="00D60BFC">
        <w:rPr>
          <w:rFonts w:ascii="Times New Roman" w:hAnsi="Times New Roman" w:cs="Times New Roman"/>
          <w:sz w:val="24"/>
          <w:szCs w:val="24"/>
          <w:lang w:val="en-CA"/>
        </w:rPr>
        <w:instrText xml:space="preserve"> SEQ CHAPTER \h \r 1</w:instrText>
      </w:r>
      <w:r w:rsidRPr="00D60BFC">
        <w:rPr>
          <w:rFonts w:ascii="Times New Roman" w:hAnsi="Times New Roman" w:cs="Times New Roman"/>
          <w:sz w:val="24"/>
          <w:szCs w:val="24"/>
          <w:lang w:val="en-CA"/>
        </w:rPr>
        <w:fldChar w:fldCharType="end"/>
      </w:r>
      <w:r w:rsidRPr="00D60BFC">
        <w:rPr>
          <w:rFonts w:ascii="Times New Roman" w:hAnsi="Times New Roman" w:cs="Times New Roman"/>
          <w:b/>
          <w:bCs/>
          <w:sz w:val="24"/>
          <w:szCs w:val="24"/>
        </w:rPr>
        <w:t>10.  CIVIL RIGHTS—TITLE VII—EMPLOYMENT DISCRIMINATION; HARASSMENT; RETALIATION</w:t>
      </w:r>
    </w:p>
    <w:p w14:paraId="2B51C3AF"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7ACCD97A"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D60BFC">
        <w:rPr>
          <w:rFonts w:ascii="Times New Roman" w:hAnsi="Times New Roman" w:cs="Times New Roman"/>
          <w:b/>
          <w:bCs/>
          <w:sz w:val="24"/>
          <w:szCs w:val="24"/>
        </w:rPr>
        <w:t>Instruction</w:t>
      </w:r>
    </w:p>
    <w:p w14:paraId="1FC01369"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8"/>
          <w:szCs w:val="28"/>
        </w:rPr>
      </w:pPr>
      <w:r w:rsidRPr="00D60BFC">
        <w:rPr>
          <w:rFonts w:ascii="Times New Roman" w:hAnsi="Times New Roman" w:cs="Times New Roman"/>
          <w:b/>
          <w:bCs/>
          <w:sz w:val="28"/>
          <w:szCs w:val="28"/>
        </w:rPr>
        <w:tab/>
      </w:r>
      <w:r w:rsidRPr="00D60BFC">
        <w:rPr>
          <w:rFonts w:ascii="Times New Roman" w:hAnsi="Times New Roman" w:cs="Times New Roman"/>
          <w:b/>
          <w:bCs/>
          <w:smallCaps/>
          <w:sz w:val="28"/>
          <w:szCs w:val="28"/>
        </w:rPr>
        <w:tab/>
      </w:r>
      <w:r w:rsidRPr="00D60BFC">
        <w:rPr>
          <w:rFonts w:ascii="Times New Roman" w:hAnsi="Times New Roman" w:cs="Times New Roman"/>
          <w:b/>
          <w:bCs/>
          <w:smallCaps/>
          <w:sz w:val="28"/>
          <w:szCs w:val="28"/>
        </w:rPr>
        <w:tab/>
      </w:r>
      <w:r w:rsidRPr="00D60BFC">
        <w:rPr>
          <w:rFonts w:ascii="Times New Roman" w:hAnsi="Times New Roman" w:cs="Times New Roman"/>
          <w:b/>
          <w:bCs/>
          <w:smallCaps/>
          <w:sz w:val="28"/>
          <w:szCs w:val="28"/>
        </w:rPr>
        <w:tab/>
      </w:r>
      <w:r w:rsidRPr="00D60BFC">
        <w:rPr>
          <w:rFonts w:ascii="Times New Roman" w:hAnsi="Times New Roman" w:cs="Times New Roman"/>
          <w:b/>
          <w:bCs/>
          <w:smallCaps/>
          <w:sz w:val="28"/>
          <w:szCs w:val="28"/>
        </w:rPr>
        <w:tab/>
      </w:r>
      <w:r w:rsidRPr="00D60BFC">
        <w:rPr>
          <w:rFonts w:ascii="Times New Roman" w:hAnsi="Times New Roman" w:cs="Times New Roman"/>
          <w:b/>
          <w:bCs/>
          <w:smallCaps/>
          <w:sz w:val="28"/>
          <w:szCs w:val="28"/>
        </w:rPr>
        <w:tab/>
      </w:r>
    </w:p>
    <w:p w14:paraId="26B560D0"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Introductory Comment</w:t>
      </w:r>
    </w:p>
    <w:p w14:paraId="174FD1D9"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w:t>
      </w:r>
      <w:r w:rsidRPr="00D60BFC">
        <w:rPr>
          <w:rFonts w:ascii="Times New Roman" w:hAnsi="Times New Roman" w:cs="Times New Roman"/>
          <w:sz w:val="24"/>
          <w:szCs w:val="24"/>
        </w:rPr>
        <w:tab/>
        <w:t>Civil Rights—Title VII—Disparate Treatment</w:t>
      </w:r>
      <w:r w:rsidRPr="00D60BFC">
        <w:rPr>
          <w:rFonts w:ascii="Times New Roman" w:hAnsi="Times New Roman" w:cs="Times New Roman"/>
          <w:b/>
          <w:bCs/>
          <w:sz w:val="24"/>
          <w:szCs w:val="24"/>
        </w:rPr>
        <w:t>—</w:t>
      </w:r>
      <w:r w:rsidRPr="00D60BFC">
        <w:rPr>
          <w:rFonts w:ascii="Times New Roman" w:hAnsi="Times New Roman" w:cs="Times New Roman"/>
          <w:sz w:val="24"/>
          <w:szCs w:val="24"/>
        </w:rPr>
        <w:t>When Evidence Supports “Sole Reason” or “Motivating Factor”</w:t>
      </w:r>
    </w:p>
    <w:p w14:paraId="6C3233D7"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10.2</w:t>
      </w:r>
      <w:r w:rsidRPr="00D60BFC">
        <w:rPr>
          <w:rFonts w:ascii="Times New Roman" w:hAnsi="Times New Roman" w:cs="Times New Roman"/>
          <w:sz w:val="24"/>
          <w:szCs w:val="24"/>
        </w:rPr>
        <w:tab/>
        <w:t>Civil Rights—Title VII—Disparate Treatment</w:t>
      </w:r>
      <w:proofErr w:type="gramStart"/>
      <w:r w:rsidRPr="00D60BFC">
        <w:rPr>
          <w:rFonts w:ascii="Times New Roman" w:hAnsi="Times New Roman" w:cs="Times New Roman"/>
          <w:sz w:val="24"/>
          <w:szCs w:val="24"/>
        </w:rPr>
        <w:t>—“</w:t>
      </w:r>
      <w:proofErr w:type="gramEnd"/>
      <w:r w:rsidRPr="00D60BFC">
        <w:rPr>
          <w:rFonts w:ascii="Times New Roman" w:hAnsi="Times New Roman" w:cs="Times New Roman"/>
          <w:sz w:val="24"/>
          <w:szCs w:val="24"/>
        </w:rPr>
        <w:t>Sole Reason”</w:t>
      </w:r>
      <w:r w:rsidRPr="00D60BFC">
        <w:rPr>
          <w:rFonts w:ascii="Times New Roman" w:hAnsi="Times New Roman" w:cs="Times New Roman"/>
          <w:b/>
          <w:bCs/>
          <w:sz w:val="24"/>
          <w:szCs w:val="24"/>
        </w:rPr>
        <w:t>—</w:t>
      </w:r>
      <w:r w:rsidRPr="00D60BFC">
        <w:rPr>
          <w:rFonts w:ascii="Times New Roman" w:hAnsi="Times New Roman" w:cs="Times New Roman"/>
          <w:sz w:val="24"/>
          <w:szCs w:val="24"/>
        </w:rPr>
        <w:t>Elements and Burden of Proof</w:t>
      </w:r>
    </w:p>
    <w:p w14:paraId="5CFBC048"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10.3</w:t>
      </w:r>
      <w:r w:rsidRPr="00D60BFC">
        <w:rPr>
          <w:rFonts w:ascii="Times New Roman" w:hAnsi="Times New Roman" w:cs="Times New Roman"/>
          <w:sz w:val="24"/>
          <w:szCs w:val="24"/>
        </w:rPr>
        <w:tab/>
        <w:t>Civil Rights—Title VII—Disparate Treatment</w:t>
      </w:r>
      <w:proofErr w:type="gramStart"/>
      <w:r w:rsidRPr="00D60BFC">
        <w:rPr>
          <w:rFonts w:ascii="Times New Roman" w:hAnsi="Times New Roman" w:cs="Times New Roman"/>
          <w:sz w:val="24"/>
          <w:szCs w:val="24"/>
        </w:rPr>
        <w:t>—“</w:t>
      </w:r>
      <w:proofErr w:type="gramEnd"/>
      <w:r w:rsidRPr="00D60BFC">
        <w:rPr>
          <w:rFonts w:ascii="Times New Roman" w:hAnsi="Times New Roman" w:cs="Times New Roman"/>
          <w:sz w:val="24"/>
          <w:szCs w:val="24"/>
        </w:rPr>
        <w:t>Motivating Factor”</w:t>
      </w:r>
      <w:r w:rsidRPr="00D60BFC">
        <w:rPr>
          <w:rFonts w:ascii="Times New Roman" w:hAnsi="Times New Roman" w:cs="Times New Roman"/>
          <w:b/>
          <w:bCs/>
          <w:sz w:val="24"/>
          <w:szCs w:val="24"/>
        </w:rPr>
        <w:t>—</w:t>
      </w:r>
      <w:r w:rsidRPr="00D60BFC">
        <w:rPr>
          <w:rFonts w:ascii="Times New Roman" w:hAnsi="Times New Roman" w:cs="Times New Roman"/>
          <w:sz w:val="24"/>
          <w:szCs w:val="24"/>
        </w:rPr>
        <w:t>Elements and Burden of Proof</w:t>
      </w:r>
    </w:p>
    <w:p w14:paraId="410C69B1"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10.4</w:t>
      </w:r>
      <w:r w:rsidRPr="00D60BFC">
        <w:rPr>
          <w:rFonts w:ascii="Times New Roman" w:hAnsi="Times New Roman" w:cs="Times New Roman"/>
          <w:sz w:val="24"/>
          <w:szCs w:val="24"/>
        </w:rPr>
        <w:tab/>
        <w:t>Civil Rights—Title VII—Hostile Work Environment—Harassment</w:t>
      </w:r>
    </w:p>
    <w:p w14:paraId="143F757C"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10.5</w:t>
      </w:r>
      <w:r w:rsidRPr="00D60BFC">
        <w:rPr>
          <w:rFonts w:ascii="Times New Roman" w:hAnsi="Times New Roman" w:cs="Times New Roman"/>
          <w:sz w:val="24"/>
          <w:szCs w:val="24"/>
        </w:rPr>
        <w:tab/>
        <w:t>Civil Rights—Title VII—Hostile Work Environment—Harassment Because of Protected Characteristics</w:t>
      </w:r>
      <w:r w:rsidRPr="00D60BFC">
        <w:rPr>
          <w:rFonts w:ascii="Times New Roman" w:hAnsi="Times New Roman" w:cs="Times New Roman"/>
          <w:b/>
          <w:bCs/>
          <w:sz w:val="24"/>
          <w:szCs w:val="24"/>
        </w:rPr>
        <w:t>—</w:t>
      </w:r>
      <w:r w:rsidRPr="00D60BFC">
        <w:rPr>
          <w:rFonts w:ascii="Times New Roman" w:hAnsi="Times New Roman" w:cs="Times New Roman"/>
          <w:sz w:val="24"/>
          <w:szCs w:val="24"/>
        </w:rPr>
        <w:t>Elements</w:t>
      </w:r>
    </w:p>
    <w:p w14:paraId="618AC2C7"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10.6</w:t>
      </w:r>
      <w:r w:rsidRPr="00D60BFC">
        <w:rPr>
          <w:rFonts w:ascii="Times New Roman" w:hAnsi="Times New Roman" w:cs="Times New Roman"/>
          <w:sz w:val="24"/>
          <w:szCs w:val="24"/>
        </w:rPr>
        <w:tab/>
        <w:t>Civil Rights—Title VII—Hostile Work Environment Caused by Supervisor—Claim Based on Vicarious Liability</w:t>
      </w:r>
      <w:r w:rsidRPr="00D60BFC">
        <w:rPr>
          <w:rFonts w:ascii="Times New Roman" w:hAnsi="Times New Roman" w:cs="Times New Roman"/>
          <w:b/>
          <w:bCs/>
          <w:sz w:val="24"/>
          <w:szCs w:val="24"/>
        </w:rPr>
        <w:t>—</w:t>
      </w:r>
      <w:r w:rsidRPr="00D60BFC">
        <w:rPr>
          <w:rFonts w:ascii="Times New Roman" w:hAnsi="Times New Roman" w:cs="Times New Roman"/>
          <w:sz w:val="24"/>
          <w:szCs w:val="24"/>
        </w:rPr>
        <w:t>Tangible Employment Action</w:t>
      </w:r>
      <w:r w:rsidRPr="00D60BFC">
        <w:rPr>
          <w:rFonts w:ascii="Times New Roman" w:hAnsi="Times New Roman" w:cs="Times New Roman"/>
          <w:b/>
          <w:bCs/>
          <w:sz w:val="24"/>
          <w:szCs w:val="24"/>
        </w:rPr>
        <w:t>—</w:t>
      </w:r>
      <w:r w:rsidRPr="00D60BFC">
        <w:rPr>
          <w:rFonts w:ascii="Times New Roman" w:hAnsi="Times New Roman" w:cs="Times New Roman"/>
          <w:sz w:val="24"/>
          <w:szCs w:val="24"/>
        </w:rPr>
        <w:t>Affirmative Defense</w:t>
      </w:r>
    </w:p>
    <w:p w14:paraId="235F36FE"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10.7</w:t>
      </w:r>
      <w:r w:rsidRPr="00D60BFC">
        <w:rPr>
          <w:rFonts w:ascii="Times New Roman" w:hAnsi="Times New Roman" w:cs="Times New Roman"/>
          <w:sz w:val="24"/>
          <w:szCs w:val="24"/>
        </w:rPr>
        <w:tab/>
        <w:t>Civil Rights—Title VII—Hostile Work Environment Caused by Non-Immediate Supervisor</w:t>
      </w:r>
      <w:r w:rsidRPr="00D60BFC">
        <w:rPr>
          <w:rFonts w:ascii="Times New Roman" w:hAnsi="Times New Roman" w:cs="Times New Roman"/>
          <w:b/>
          <w:bCs/>
          <w:sz w:val="24"/>
          <w:szCs w:val="24"/>
        </w:rPr>
        <w:t xml:space="preserve"> </w:t>
      </w:r>
      <w:r w:rsidRPr="00D60BFC">
        <w:rPr>
          <w:rFonts w:ascii="Times New Roman" w:hAnsi="Times New Roman" w:cs="Times New Roman"/>
          <w:sz w:val="24"/>
          <w:szCs w:val="24"/>
        </w:rPr>
        <w:t>or by Co-Worker</w:t>
      </w:r>
      <w:r w:rsidRPr="00D60BFC">
        <w:rPr>
          <w:rFonts w:ascii="Times New Roman" w:hAnsi="Times New Roman" w:cs="Times New Roman"/>
          <w:b/>
          <w:bCs/>
          <w:sz w:val="24"/>
          <w:szCs w:val="24"/>
        </w:rPr>
        <w:t>—</w:t>
      </w:r>
      <w:r w:rsidRPr="00D60BFC">
        <w:rPr>
          <w:rFonts w:ascii="Times New Roman" w:hAnsi="Times New Roman" w:cs="Times New Roman"/>
          <w:sz w:val="24"/>
          <w:szCs w:val="24"/>
        </w:rPr>
        <w:t>Claim Based on Negligence</w:t>
      </w:r>
    </w:p>
    <w:p w14:paraId="16CD7AEE"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10.8</w:t>
      </w:r>
      <w:r w:rsidRPr="00D60BFC">
        <w:rPr>
          <w:rFonts w:ascii="Times New Roman" w:hAnsi="Times New Roman" w:cs="Times New Roman"/>
          <w:sz w:val="24"/>
          <w:szCs w:val="24"/>
        </w:rPr>
        <w:tab/>
        <w:t>Civil Rights—Title VII—Retaliation</w:t>
      </w:r>
      <w:r w:rsidRPr="00D60BFC">
        <w:rPr>
          <w:rFonts w:ascii="Times New Roman" w:hAnsi="Times New Roman" w:cs="Times New Roman"/>
          <w:b/>
          <w:bCs/>
          <w:sz w:val="24"/>
          <w:szCs w:val="24"/>
        </w:rPr>
        <w:t>—</w:t>
      </w:r>
      <w:r w:rsidRPr="00D60BFC">
        <w:rPr>
          <w:rFonts w:ascii="Times New Roman" w:hAnsi="Times New Roman" w:cs="Times New Roman"/>
          <w:sz w:val="24"/>
          <w:szCs w:val="24"/>
        </w:rPr>
        <w:t>Elements and Burden of Proof</w:t>
      </w:r>
    </w:p>
    <w:p w14:paraId="63F1A8F7"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10.9</w:t>
      </w:r>
      <w:r w:rsidRPr="00D60BFC">
        <w:rPr>
          <w:rFonts w:ascii="Times New Roman" w:hAnsi="Times New Roman" w:cs="Times New Roman"/>
          <w:sz w:val="24"/>
          <w:szCs w:val="24"/>
        </w:rPr>
        <w:tab/>
        <w:t>Civil Rights—Title VII</w:t>
      </w:r>
      <w:proofErr w:type="gramStart"/>
      <w:r w:rsidRPr="00D60BFC">
        <w:rPr>
          <w:rFonts w:ascii="Times New Roman" w:hAnsi="Times New Roman" w:cs="Times New Roman"/>
          <w:sz w:val="24"/>
          <w:szCs w:val="24"/>
        </w:rPr>
        <w:t>—“</w:t>
      </w:r>
      <w:proofErr w:type="gramEnd"/>
      <w:r w:rsidRPr="00D60BFC">
        <w:rPr>
          <w:rFonts w:ascii="Times New Roman" w:hAnsi="Times New Roman" w:cs="Times New Roman"/>
          <w:sz w:val="24"/>
          <w:szCs w:val="24"/>
        </w:rPr>
        <w:t>Adverse Employment Action” Defined</w:t>
      </w:r>
    </w:p>
    <w:p w14:paraId="48EC07E3"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10.10</w:t>
      </w:r>
      <w:r w:rsidRPr="00D60BFC">
        <w:rPr>
          <w:rFonts w:ascii="Times New Roman" w:hAnsi="Times New Roman" w:cs="Times New Roman"/>
          <w:sz w:val="24"/>
          <w:szCs w:val="24"/>
        </w:rPr>
        <w:tab/>
        <w:t>Civil Rights—Title VII</w:t>
      </w:r>
      <w:proofErr w:type="gramStart"/>
      <w:r w:rsidRPr="00D60BFC">
        <w:rPr>
          <w:rFonts w:ascii="Times New Roman" w:hAnsi="Times New Roman" w:cs="Times New Roman"/>
          <w:sz w:val="24"/>
          <w:szCs w:val="24"/>
        </w:rPr>
        <w:t>—“</w:t>
      </w:r>
      <w:proofErr w:type="gramEnd"/>
      <w:r w:rsidRPr="00D60BFC">
        <w:rPr>
          <w:rFonts w:ascii="Times New Roman" w:hAnsi="Times New Roman" w:cs="Times New Roman"/>
          <w:sz w:val="24"/>
          <w:szCs w:val="24"/>
        </w:rPr>
        <w:t>Adverse Employment Action” in Retaliation Cases</w:t>
      </w:r>
    </w:p>
    <w:p w14:paraId="21F7687B"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10.11</w:t>
      </w:r>
      <w:r w:rsidRPr="00D60BFC">
        <w:rPr>
          <w:rFonts w:ascii="Times New Roman" w:hAnsi="Times New Roman" w:cs="Times New Roman"/>
          <w:sz w:val="24"/>
          <w:szCs w:val="24"/>
        </w:rPr>
        <w:tab/>
        <w:t>Civil Rights—Title VII</w:t>
      </w:r>
      <w:proofErr w:type="gramStart"/>
      <w:r w:rsidRPr="00D60BFC">
        <w:rPr>
          <w:rFonts w:ascii="Times New Roman" w:hAnsi="Times New Roman" w:cs="Times New Roman"/>
          <w:sz w:val="24"/>
          <w:szCs w:val="24"/>
        </w:rPr>
        <w:t>—“</w:t>
      </w:r>
      <w:proofErr w:type="gramEnd"/>
      <w:r w:rsidRPr="00D60BFC">
        <w:rPr>
          <w:rFonts w:ascii="Times New Roman" w:hAnsi="Times New Roman" w:cs="Times New Roman"/>
          <w:sz w:val="24"/>
          <w:szCs w:val="24"/>
        </w:rPr>
        <w:t>Adverse Employment Action” in Disparate Treatment Cases</w:t>
      </w:r>
    </w:p>
    <w:p w14:paraId="2B70086F"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10.12</w:t>
      </w:r>
      <w:r w:rsidRPr="00D60BFC">
        <w:rPr>
          <w:rFonts w:ascii="Times New Roman" w:hAnsi="Times New Roman" w:cs="Times New Roman"/>
          <w:sz w:val="24"/>
          <w:szCs w:val="24"/>
        </w:rPr>
        <w:tab/>
        <w:t>Civil Rights—Title VII</w:t>
      </w:r>
      <w:proofErr w:type="gramStart"/>
      <w:r w:rsidRPr="00D60BFC">
        <w:rPr>
          <w:rFonts w:ascii="Times New Roman" w:hAnsi="Times New Roman" w:cs="Times New Roman"/>
          <w:sz w:val="24"/>
          <w:szCs w:val="24"/>
        </w:rPr>
        <w:t>—“</w:t>
      </w:r>
      <w:proofErr w:type="gramEnd"/>
      <w:r w:rsidRPr="00D60BFC">
        <w:rPr>
          <w:rFonts w:ascii="Times New Roman" w:hAnsi="Times New Roman" w:cs="Times New Roman"/>
          <w:sz w:val="24"/>
          <w:szCs w:val="24"/>
        </w:rPr>
        <w:t>Tangible Employment Action” Defined</w:t>
      </w:r>
    </w:p>
    <w:p w14:paraId="04004453"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10.13</w:t>
      </w:r>
      <w:r w:rsidRPr="00D60BFC">
        <w:rPr>
          <w:rFonts w:ascii="Times New Roman" w:hAnsi="Times New Roman" w:cs="Times New Roman"/>
          <w:sz w:val="24"/>
          <w:szCs w:val="24"/>
        </w:rPr>
        <w:tab/>
        <w:t>Civil Rights—Title VII</w:t>
      </w:r>
      <w:proofErr w:type="gramStart"/>
      <w:r w:rsidRPr="00D60BFC">
        <w:rPr>
          <w:rFonts w:ascii="Times New Roman" w:hAnsi="Times New Roman" w:cs="Times New Roman"/>
          <w:sz w:val="24"/>
          <w:szCs w:val="24"/>
        </w:rPr>
        <w:t>—“</w:t>
      </w:r>
      <w:proofErr w:type="gramEnd"/>
      <w:r w:rsidRPr="00D60BFC">
        <w:rPr>
          <w:rFonts w:ascii="Times New Roman" w:hAnsi="Times New Roman" w:cs="Times New Roman"/>
          <w:sz w:val="24"/>
          <w:szCs w:val="24"/>
        </w:rPr>
        <w:t>Constructive Discharge” Defined</w:t>
      </w:r>
    </w:p>
    <w:p w14:paraId="1949C7E5"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10.14</w:t>
      </w:r>
      <w:r w:rsidRPr="00D60BFC">
        <w:rPr>
          <w:rFonts w:ascii="Times New Roman" w:hAnsi="Times New Roman" w:cs="Times New Roman"/>
          <w:sz w:val="24"/>
          <w:szCs w:val="24"/>
        </w:rPr>
        <w:tab/>
        <w:t>Civil Rights—Title VII—Defense</w:t>
      </w:r>
      <w:r w:rsidRPr="00D60BFC">
        <w:rPr>
          <w:rFonts w:ascii="Times New Roman" w:hAnsi="Times New Roman" w:cs="Times New Roman"/>
          <w:b/>
          <w:bCs/>
          <w:sz w:val="24"/>
          <w:szCs w:val="24"/>
        </w:rPr>
        <w:t>—</w:t>
      </w:r>
      <w:r w:rsidRPr="00D60BFC">
        <w:rPr>
          <w:rFonts w:ascii="Times New Roman" w:hAnsi="Times New Roman" w:cs="Times New Roman"/>
          <w:sz w:val="24"/>
          <w:szCs w:val="24"/>
        </w:rPr>
        <w:t>Bona Fide Occupational Qualification</w:t>
      </w:r>
    </w:p>
    <w:p w14:paraId="3E866852"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10.15</w:t>
      </w:r>
      <w:r w:rsidRPr="00D60BFC">
        <w:rPr>
          <w:rFonts w:ascii="Times New Roman" w:hAnsi="Times New Roman" w:cs="Times New Roman"/>
          <w:sz w:val="24"/>
          <w:szCs w:val="24"/>
        </w:rPr>
        <w:tab/>
        <w:t>Civil Rights—Title VII—Defense</w:t>
      </w:r>
      <w:r w:rsidRPr="00D60BFC">
        <w:rPr>
          <w:rFonts w:ascii="Times New Roman" w:hAnsi="Times New Roman" w:cs="Times New Roman"/>
          <w:b/>
          <w:bCs/>
          <w:sz w:val="24"/>
          <w:szCs w:val="24"/>
        </w:rPr>
        <w:t>—</w:t>
      </w:r>
      <w:r w:rsidRPr="00D60BFC">
        <w:rPr>
          <w:rFonts w:ascii="Times New Roman" w:hAnsi="Times New Roman" w:cs="Times New Roman"/>
          <w:sz w:val="24"/>
          <w:szCs w:val="24"/>
        </w:rPr>
        <w:t>Bona Fide Seniority System</w:t>
      </w:r>
    </w:p>
    <w:p w14:paraId="455CDA3F"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90" w:hanging="990"/>
        <w:rPr>
          <w:rFonts w:ascii="Times New Roman" w:hAnsi="Times New Roman" w:cs="Times New Roman"/>
          <w:sz w:val="24"/>
          <w:szCs w:val="24"/>
        </w:rPr>
      </w:pPr>
      <w:r w:rsidRPr="00D60BFC">
        <w:rPr>
          <w:rFonts w:ascii="Times New Roman" w:hAnsi="Times New Roman" w:cs="Times New Roman"/>
          <w:sz w:val="24"/>
          <w:szCs w:val="24"/>
        </w:rPr>
        <w:t>10.16</w:t>
      </w:r>
      <w:r w:rsidRPr="00D60BFC">
        <w:rPr>
          <w:rFonts w:ascii="Times New Roman" w:hAnsi="Times New Roman" w:cs="Times New Roman"/>
          <w:sz w:val="24"/>
          <w:szCs w:val="24"/>
        </w:rPr>
        <w:tab/>
        <w:t>Civil Rights—Title VII—Defense</w:t>
      </w:r>
      <w:r w:rsidRPr="00D60BFC">
        <w:rPr>
          <w:rFonts w:ascii="Times New Roman" w:hAnsi="Times New Roman" w:cs="Times New Roman"/>
          <w:b/>
          <w:bCs/>
          <w:sz w:val="24"/>
          <w:szCs w:val="24"/>
        </w:rPr>
        <w:t>—</w:t>
      </w:r>
      <w:r w:rsidRPr="00D60BFC">
        <w:rPr>
          <w:rFonts w:ascii="Times New Roman" w:hAnsi="Times New Roman" w:cs="Times New Roman"/>
          <w:sz w:val="24"/>
          <w:szCs w:val="24"/>
        </w:rPr>
        <w:t>After-Acquired Evidence</w:t>
      </w:r>
    </w:p>
    <w:p w14:paraId="162D6F2B"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80E74A6"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____________</w:t>
      </w:r>
    </w:p>
    <w:p w14:paraId="0D9DEEB5"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7EDB4687" w14:textId="77777777" w:rsidR="00D60BFC" w:rsidRPr="00D60BFC" w:rsidRDefault="00D60BFC" w:rsidP="00D60BFC">
      <w:pPr>
        <w:tabs>
          <w:tab w:val="left" w:pos="-108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r w:rsidRPr="00D60BFC">
        <w:rPr>
          <w:rFonts w:ascii="Times New Roman" w:hAnsi="Times New Roman" w:cs="Times New Roman"/>
          <w:b/>
          <w:bCs/>
          <w:sz w:val="24"/>
          <w:szCs w:val="24"/>
        </w:rPr>
        <w:t>Introductory Comment</w:t>
      </w:r>
    </w:p>
    <w:p w14:paraId="3D2DB2C3"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D2FB749"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ab/>
        <w:t xml:space="preserve">Employment discrimination law under Title VII of the Civil Rights Act, 42 U.S.C. § 2000e </w:t>
      </w:r>
      <w:r w:rsidRPr="00D60BFC">
        <w:rPr>
          <w:rFonts w:ascii="Times New Roman" w:hAnsi="Times New Roman" w:cs="Times New Roman"/>
          <w:i/>
          <w:iCs/>
          <w:sz w:val="24"/>
          <w:szCs w:val="24"/>
        </w:rPr>
        <w:t>et seq</w:t>
      </w:r>
      <w:r w:rsidRPr="00D60BFC">
        <w:rPr>
          <w:rFonts w:ascii="Times New Roman" w:hAnsi="Times New Roman" w:cs="Times New Roman"/>
          <w:sz w:val="24"/>
          <w:szCs w:val="24"/>
        </w:rPr>
        <w:t xml:space="preserve">., and 42 U.S.C. § 1981a is complex and evolving. </w:t>
      </w:r>
    </w:p>
    <w:p w14:paraId="4A973A32"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6A05F5D" w14:textId="3FB3DAFE"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ab/>
        <w:t xml:space="preserve">Prior to the 1991 amendments to the Civil Rights Act, jury trials were not available in Title VII cases.  The Civil Rights Act of 1991 now permits Title VII cases to be tried by jury.  42 U.S.C. § 1981a(c).  The plaintiff may recover on a showing that the alleged discriminatory employment practice was based on an individual’s race, color, religion, </w:t>
      </w:r>
      <w:proofErr w:type="gramStart"/>
      <w:r w:rsidRPr="00D60BFC">
        <w:rPr>
          <w:rFonts w:ascii="Times New Roman" w:hAnsi="Times New Roman" w:cs="Times New Roman"/>
          <w:sz w:val="24"/>
          <w:szCs w:val="24"/>
        </w:rPr>
        <w:t>sex</w:t>
      </w:r>
      <w:proofErr w:type="gramEnd"/>
      <w:r w:rsidRPr="00D60BFC">
        <w:rPr>
          <w:rFonts w:ascii="Times New Roman" w:hAnsi="Times New Roman" w:cs="Times New Roman"/>
          <w:sz w:val="24"/>
          <w:szCs w:val="24"/>
        </w:rPr>
        <w:t xml:space="preserve"> or national origin.  42 U.S.C. § 2000e-2(a)(1).  </w:t>
      </w:r>
      <w:r>
        <w:rPr>
          <w:rFonts w:ascii="Times New Roman" w:hAnsi="Times New Roman" w:cs="Times New Roman"/>
          <w:sz w:val="24"/>
          <w:szCs w:val="24"/>
        </w:rPr>
        <w:t xml:space="preserve">It should be noted that “paramour preference” does not constitute discrimination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sex.</w:t>
      </w:r>
      <w:r w:rsidRPr="00C6056D">
        <w:rPr>
          <w:rFonts w:ascii="Times New Roman" w:hAnsi="Times New Roman" w:cs="Times New Roman"/>
          <w:i/>
          <w:iCs/>
          <w:sz w:val="24"/>
          <w:szCs w:val="24"/>
        </w:rPr>
        <w:t xml:space="preserve">  </w:t>
      </w:r>
      <w:proofErr w:type="spellStart"/>
      <w:r w:rsidRPr="00C6056D">
        <w:rPr>
          <w:rFonts w:ascii="Times New Roman" w:hAnsi="Times New Roman" w:cs="Times New Roman"/>
          <w:i/>
          <w:iCs/>
          <w:sz w:val="24"/>
          <w:szCs w:val="24"/>
        </w:rPr>
        <w:t>Maner</w:t>
      </w:r>
      <w:proofErr w:type="spellEnd"/>
      <w:r w:rsidRPr="00C6056D">
        <w:rPr>
          <w:rFonts w:ascii="Times New Roman" w:hAnsi="Times New Roman" w:cs="Times New Roman"/>
          <w:i/>
          <w:iCs/>
          <w:sz w:val="24"/>
          <w:szCs w:val="24"/>
        </w:rPr>
        <w:t xml:space="preserve"> v. Dignity Health</w:t>
      </w:r>
      <w:r w:rsidRPr="00C6056D">
        <w:rPr>
          <w:rFonts w:ascii="Times New Roman" w:hAnsi="Times New Roman" w:cs="Times New Roman"/>
          <w:sz w:val="24"/>
          <w:szCs w:val="24"/>
        </w:rPr>
        <w:t>, 9 F.4th 1114, 1116 (9th Cir. 2021).</w:t>
      </w:r>
      <w:r>
        <w:rPr>
          <w:rFonts w:ascii="Times New Roman" w:hAnsi="Times New Roman" w:cs="Times New Roman"/>
          <w:i/>
          <w:iCs/>
          <w:sz w:val="24"/>
          <w:szCs w:val="24"/>
        </w:rPr>
        <w:t xml:space="preserve">  </w:t>
      </w:r>
      <w:r w:rsidRPr="00C6056D">
        <w:rPr>
          <w:rFonts w:ascii="Times New Roman" w:hAnsi="Times New Roman" w:cs="Times New Roman"/>
          <w:i/>
          <w:iCs/>
          <w:sz w:val="24"/>
          <w:szCs w:val="24"/>
        </w:rPr>
        <w:t>The</w:t>
      </w:r>
      <w:r w:rsidRPr="00D60BFC">
        <w:rPr>
          <w:rFonts w:ascii="Times New Roman" w:hAnsi="Times New Roman" w:cs="Times New Roman"/>
          <w:sz w:val="24"/>
          <w:szCs w:val="24"/>
        </w:rPr>
        <w:t xml:space="preserve"> plaintiff may prevail by showing that the discrimination was “a motivating factor” in the employment decision even though other factors also motivated the decision. </w:t>
      </w:r>
      <w:r w:rsidRPr="00D60BFC">
        <w:rPr>
          <w:rFonts w:ascii="Times New Roman" w:hAnsi="Times New Roman" w:cs="Times New Roman"/>
          <w:i/>
          <w:iCs/>
          <w:sz w:val="24"/>
          <w:szCs w:val="24"/>
        </w:rPr>
        <w:t xml:space="preserve"> Washington v. Garrett</w:t>
      </w:r>
      <w:r w:rsidRPr="00D60BFC">
        <w:rPr>
          <w:rFonts w:ascii="Times New Roman" w:hAnsi="Times New Roman" w:cs="Times New Roman"/>
          <w:sz w:val="24"/>
          <w:szCs w:val="24"/>
        </w:rPr>
        <w:t xml:space="preserve">, 10 F.3d 1421, 1433 n.15 (9th Cir. 1993); </w:t>
      </w:r>
      <w:r w:rsidRPr="00D60BFC">
        <w:rPr>
          <w:rFonts w:ascii="Times New Roman" w:hAnsi="Times New Roman" w:cs="Times New Roman"/>
          <w:i/>
          <w:iCs/>
          <w:sz w:val="24"/>
          <w:szCs w:val="24"/>
        </w:rPr>
        <w:t>see also Costa v. Desert Palace, Inc.</w:t>
      </w:r>
      <w:r w:rsidRPr="00D60BFC">
        <w:rPr>
          <w:rFonts w:ascii="Times New Roman" w:hAnsi="Times New Roman" w:cs="Times New Roman"/>
          <w:sz w:val="24"/>
          <w:szCs w:val="24"/>
        </w:rPr>
        <w:t xml:space="preserve">, 299 F.3d </w:t>
      </w:r>
      <w:r w:rsidRPr="00D60BFC">
        <w:rPr>
          <w:rFonts w:ascii="Times New Roman" w:hAnsi="Times New Roman" w:cs="Times New Roman"/>
          <w:sz w:val="24"/>
          <w:szCs w:val="24"/>
        </w:rPr>
        <w:lastRenderedPageBreak/>
        <w:t>838, 853-59 (9th Cir. 2002) (</w:t>
      </w:r>
      <w:proofErr w:type="spellStart"/>
      <w:r w:rsidRPr="00D60BFC">
        <w:rPr>
          <w:rFonts w:ascii="Times New Roman" w:hAnsi="Times New Roman" w:cs="Times New Roman"/>
          <w:sz w:val="24"/>
          <w:szCs w:val="24"/>
        </w:rPr>
        <w:t>en</w:t>
      </w:r>
      <w:proofErr w:type="spellEnd"/>
      <w:r w:rsidRPr="00D60BFC">
        <w:rPr>
          <w:rFonts w:ascii="Times New Roman" w:hAnsi="Times New Roman" w:cs="Times New Roman"/>
          <w:sz w:val="24"/>
          <w:szCs w:val="24"/>
        </w:rPr>
        <w:t xml:space="preserve"> banc), </w:t>
      </w:r>
      <w:r w:rsidRPr="00D60BFC">
        <w:rPr>
          <w:rFonts w:ascii="Times New Roman" w:hAnsi="Times New Roman" w:cs="Times New Roman"/>
          <w:i/>
          <w:iCs/>
          <w:sz w:val="24"/>
          <w:szCs w:val="24"/>
        </w:rPr>
        <w:t>aff’d,</w:t>
      </w:r>
      <w:r w:rsidRPr="00D60BFC">
        <w:rPr>
          <w:rFonts w:ascii="Times New Roman" w:hAnsi="Times New Roman" w:cs="Times New Roman"/>
          <w:sz w:val="24"/>
          <w:szCs w:val="24"/>
        </w:rPr>
        <w:t xml:space="preserve"> 539 U.S. 90 (2003) (“Put simply, the plaintiff in any Title VII case may establish a violation through a preponderance of evidence (whether direct or circumstantial) that a protected characteristic played ‘a motivating factor.’”); </w:t>
      </w:r>
      <w:r w:rsidRPr="00D60BFC">
        <w:rPr>
          <w:rFonts w:ascii="Times New Roman" w:hAnsi="Times New Roman" w:cs="Times New Roman"/>
          <w:i/>
          <w:iCs/>
          <w:sz w:val="24"/>
          <w:szCs w:val="24"/>
        </w:rPr>
        <w:t>see also E.E.O.C. v. Abercrombie &amp; Fitch Stores, Inc.</w:t>
      </w:r>
      <w:r w:rsidRPr="00D60BFC">
        <w:rPr>
          <w:rFonts w:ascii="Times New Roman" w:hAnsi="Times New Roman" w:cs="Times New Roman"/>
          <w:sz w:val="24"/>
          <w:szCs w:val="24"/>
        </w:rPr>
        <w:t xml:space="preserve">, 135 S. Ct. 2028, 2032 (2015) (explaining that phrase “because of” “typically imports, at a minimum, the traditional standard of but-for causation,” but Title VII relaxes this standard “to prohibit even making a protected characteristic a ‘motivating factor’ in an employment decision”).   </w:t>
      </w:r>
      <w:r w:rsidRPr="00D60BFC">
        <w:rPr>
          <w:rFonts w:ascii="Times New Roman" w:hAnsi="Times New Roman" w:cs="Times New Roman"/>
          <w:i/>
          <w:iCs/>
          <w:sz w:val="24"/>
          <w:szCs w:val="24"/>
        </w:rPr>
        <w:t>See</w:t>
      </w:r>
      <w:r w:rsidRPr="00D60BFC">
        <w:rPr>
          <w:rFonts w:ascii="Times New Roman" w:hAnsi="Times New Roman" w:cs="Times New Roman"/>
          <w:sz w:val="24"/>
          <w:szCs w:val="24"/>
        </w:rPr>
        <w:t xml:space="preserve"> Instruction 10.1 (Civil Rights—Disparate Treatment—When Evidence Supports “Sole Reason” or “Motivating Factor”).  In retaliation claims, however, the correct standard in determining causation is the “but-for” standard and not the “motivating factor” standard.  </w:t>
      </w:r>
      <w:r w:rsidRPr="00D60BFC">
        <w:rPr>
          <w:rFonts w:ascii="Times New Roman" w:hAnsi="Times New Roman" w:cs="Times New Roman"/>
          <w:i/>
          <w:iCs/>
          <w:sz w:val="24"/>
          <w:szCs w:val="24"/>
        </w:rPr>
        <w:t xml:space="preserve">Univ. of Tex. Sw. Med. Ctr. v. Nassar, </w:t>
      </w:r>
      <w:r w:rsidRPr="00D60BFC">
        <w:rPr>
          <w:rFonts w:ascii="Times New Roman" w:hAnsi="Times New Roman" w:cs="Times New Roman"/>
          <w:sz w:val="24"/>
          <w:szCs w:val="24"/>
        </w:rPr>
        <w:t>133 S. Ct. 2517 (2013).</w:t>
      </w:r>
    </w:p>
    <w:p w14:paraId="71774C66"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8BAC830"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ab/>
        <w:t xml:space="preserve">Prior to 1991, Title VII provided only equitable remedies.  </w:t>
      </w:r>
      <w:r w:rsidRPr="00D60BFC">
        <w:rPr>
          <w:rFonts w:ascii="Times New Roman" w:hAnsi="Times New Roman" w:cs="Times New Roman"/>
          <w:i/>
          <w:iCs/>
          <w:sz w:val="24"/>
          <w:szCs w:val="24"/>
        </w:rPr>
        <w:t>See</w:t>
      </w:r>
      <w:r w:rsidRPr="00D60BFC">
        <w:rPr>
          <w:rFonts w:ascii="Times New Roman" w:hAnsi="Times New Roman" w:cs="Times New Roman"/>
          <w:sz w:val="24"/>
          <w:szCs w:val="24"/>
        </w:rPr>
        <w:t xml:space="preserve"> 42 U.S.C. § 2000e-5(g)(1) (providing for reinstatement, back pay and “any other equitable relief as the court deems appropriate”).  The 1991 amendments added the legal remedies of compensatory and punitive damages.  42 U.S.C. § 1981a(a)(1).  Title VII plaintiffs may now recover injunctive and other equitable relief, compensatory and punitive </w:t>
      </w:r>
      <w:proofErr w:type="gramStart"/>
      <w:r w:rsidRPr="00D60BFC">
        <w:rPr>
          <w:rFonts w:ascii="Times New Roman" w:hAnsi="Times New Roman" w:cs="Times New Roman"/>
          <w:sz w:val="24"/>
          <w:szCs w:val="24"/>
        </w:rPr>
        <w:t>damages</w:t>
      </w:r>
      <w:proofErr w:type="gramEnd"/>
      <w:r w:rsidRPr="00D60BFC">
        <w:rPr>
          <w:rFonts w:ascii="Times New Roman" w:hAnsi="Times New Roman" w:cs="Times New Roman"/>
          <w:sz w:val="24"/>
          <w:szCs w:val="24"/>
        </w:rPr>
        <w:t xml:space="preserve"> and attorneys’ fees.  42 U.S.C. §§ 1981a(a)(1), 2000e-5(g)(1), (k).  However, recovery of compensatory and punitive damages under Title VII is limited by the statutory caps provided in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caps.  42 U.S.C. § 1981a(b)(2).  The Supreme Court has extended this rationale to exclude front pay from the statutory caps.  </w:t>
      </w:r>
      <w:r w:rsidRPr="00D60BFC">
        <w:rPr>
          <w:rFonts w:ascii="Times New Roman" w:hAnsi="Times New Roman" w:cs="Times New Roman"/>
          <w:i/>
          <w:iCs/>
          <w:sz w:val="24"/>
          <w:szCs w:val="24"/>
        </w:rPr>
        <w:t>Pollard v. E.I. du Pont de Nemours &amp; Co.</w:t>
      </w:r>
      <w:r w:rsidRPr="00D60BFC">
        <w:rPr>
          <w:rFonts w:ascii="Times New Roman" w:hAnsi="Times New Roman" w:cs="Times New Roman"/>
          <w:sz w:val="24"/>
          <w:szCs w:val="24"/>
        </w:rPr>
        <w:t xml:space="preserve">, 532 U.S. 843, 848 (2001) (holding that 1991 amendments did not alter nature of front pay as equitable remedy provided for in 42 U.S.C. § 2000e-5(g)).  While the Supreme Court has declined to address definitively whether a Title VII plaintiff has a right to a jury trial on the issue of back pay, </w:t>
      </w:r>
      <w:r w:rsidRPr="00D60BFC">
        <w:rPr>
          <w:rFonts w:ascii="Times New Roman" w:hAnsi="Times New Roman" w:cs="Times New Roman"/>
          <w:i/>
          <w:iCs/>
          <w:sz w:val="24"/>
          <w:szCs w:val="24"/>
        </w:rPr>
        <w:t xml:space="preserve">see Landgraf v. USI Film Prods., </w:t>
      </w:r>
      <w:r w:rsidRPr="00D60BFC">
        <w:rPr>
          <w:rFonts w:ascii="Times New Roman" w:hAnsi="Times New Roman" w:cs="Times New Roman"/>
          <w:sz w:val="24"/>
          <w:szCs w:val="24"/>
        </w:rPr>
        <w:t xml:space="preserve">511 U.S. 244, 252 n.4 (1994), the Ninth Circuit has held that there is no such right. </w:t>
      </w:r>
      <w:r w:rsidRPr="00D60BFC">
        <w:rPr>
          <w:rFonts w:ascii="Times New Roman" w:hAnsi="Times New Roman" w:cs="Times New Roman"/>
          <w:i/>
          <w:iCs/>
          <w:sz w:val="24"/>
          <w:szCs w:val="24"/>
        </w:rPr>
        <w:t xml:space="preserve"> Lutz v. Glendale Union High Sch.</w:t>
      </w:r>
      <w:r w:rsidRPr="00D60BFC">
        <w:rPr>
          <w:rFonts w:ascii="Times New Roman" w:hAnsi="Times New Roman" w:cs="Times New Roman"/>
          <w:sz w:val="24"/>
          <w:szCs w:val="24"/>
        </w:rPr>
        <w:t xml:space="preserve">, 403 F.3d 1061, 1069 (9th Cir. 2005). </w:t>
      </w:r>
      <w:r w:rsidRPr="00D60BFC">
        <w:rPr>
          <w:rFonts w:ascii="Times New Roman" w:hAnsi="Times New Roman" w:cs="Times New Roman"/>
          <w:i/>
          <w:iCs/>
          <w:sz w:val="24"/>
          <w:szCs w:val="24"/>
        </w:rPr>
        <w:t xml:space="preserve"> </w:t>
      </w:r>
      <w:r w:rsidRPr="00D60BFC">
        <w:rPr>
          <w:rFonts w:ascii="Times New Roman" w:hAnsi="Times New Roman" w:cs="Times New Roman"/>
          <w:sz w:val="24"/>
          <w:szCs w:val="24"/>
        </w:rPr>
        <w:t xml:space="preserve">The holding in </w:t>
      </w:r>
      <w:r w:rsidRPr="00D60BFC">
        <w:rPr>
          <w:rFonts w:ascii="Times New Roman" w:hAnsi="Times New Roman" w:cs="Times New Roman"/>
          <w:i/>
          <w:iCs/>
          <w:sz w:val="24"/>
          <w:szCs w:val="24"/>
        </w:rPr>
        <w:t>Pollard</w:t>
      </w:r>
      <w:r w:rsidRPr="00D60BFC">
        <w:rPr>
          <w:rFonts w:ascii="Times New Roman" w:hAnsi="Times New Roman" w:cs="Times New Roman"/>
          <w:sz w:val="24"/>
          <w:szCs w:val="24"/>
        </w:rPr>
        <w:t xml:space="preserve"> that front pay is excluded from the statutory caps because it is an equitable remedy suggests that there is similarly no entitlement to a jury trial on front pay. </w:t>
      </w:r>
      <w:r w:rsidRPr="00D60BFC">
        <w:rPr>
          <w:rFonts w:ascii="Times New Roman" w:hAnsi="Times New Roman" w:cs="Times New Roman"/>
          <w:i/>
          <w:iCs/>
          <w:sz w:val="24"/>
          <w:szCs w:val="24"/>
        </w:rPr>
        <w:t xml:space="preserve"> See Pollard</w:t>
      </w:r>
      <w:r w:rsidRPr="00D60BFC">
        <w:rPr>
          <w:rFonts w:ascii="Times New Roman" w:hAnsi="Times New Roman" w:cs="Times New Roman"/>
          <w:sz w:val="24"/>
          <w:szCs w:val="24"/>
        </w:rPr>
        <w:t xml:space="preserve">, 532 U.S. at 848.  The court, however, may consider submitting questions of front and back pay to the jury for advisory findings pursuant to Fed. R. Civ. P. 39(c).  If advisory findings are sought, the court should recognize on the record that it is not bound by </w:t>
      </w:r>
      <w:proofErr w:type="gramStart"/>
      <w:r w:rsidRPr="00D60BFC">
        <w:rPr>
          <w:rFonts w:ascii="Times New Roman" w:hAnsi="Times New Roman" w:cs="Times New Roman"/>
          <w:sz w:val="24"/>
          <w:szCs w:val="24"/>
        </w:rPr>
        <w:t>them, and</w:t>
      </w:r>
      <w:proofErr w:type="gramEnd"/>
      <w:r w:rsidRPr="00D60BFC">
        <w:rPr>
          <w:rFonts w:ascii="Times New Roman" w:hAnsi="Times New Roman" w:cs="Times New Roman"/>
          <w:sz w:val="24"/>
          <w:szCs w:val="24"/>
        </w:rPr>
        <w:t xml:space="preserve"> make a record of independent findings pursuant to Fed. R. Civ. P. 52(a).  </w:t>
      </w:r>
      <w:r w:rsidRPr="00D60BFC">
        <w:rPr>
          <w:rFonts w:ascii="Times New Roman" w:hAnsi="Times New Roman" w:cs="Times New Roman"/>
          <w:i/>
          <w:iCs/>
          <w:sz w:val="24"/>
          <w:szCs w:val="24"/>
        </w:rPr>
        <w:t>See</w:t>
      </w:r>
      <w:r w:rsidRPr="00D60BFC">
        <w:rPr>
          <w:rFonts w:ascii="Times New Roman" w:hAnsi="Times New Roman" w:cs="Times New Roman"/>
          <w:sz w:val="24"/>
          <w:szCs w:val="24"/>
        </w:rPr>
        <w:t xml:space="preserve"> Chapter 5 (“Damages”) and Comments to Instructions 5.2 (Measures of Types of Damages) and 5.5 (Punitive Damages) discussing the special damage rules that apply to Title VII cases.</w:t>
      </w:r>
    </w:p>
    <w:p w14:paraId="009E98E8"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F5CA9FC"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ab/>
        <w:t xml:space="preserve">A plaintiff’s remedies may be limited in so-called “mixed motive cases” when the plaintiff establishes liability by proving that a protected characteristic was a “motivating factor” in an employment action.  </w:t>
      </w:r>
      <w:r w:rsidRPr="00D60BFC">
        <w:rPr>
          <w:rFonts w:ascii="Times New Roman" w:hAnsi="Times New Roman" w:cs="Times New Roman"/>
          <w:i/>
          <w:iCs/>
          <w:sz w:val="24"/>
          <w:szCs w:val="24"/>
        </w:rPr>
        <w:t>See</w:t>
      </w:r>
      <w:r w:rsidRPr="00D60BFC">
        <w:rPr>
          <w:rFonts w:ascii="Times New Roman" w:hAnsi="Times New Roman" w:cs="Times New Roman"/>
          <w:sz w:val="24"/>
          <w:szCs w:val="24"/>
        </w:rPr>
        <w:t xml:space="preserve"> 42 U.S.C. §§ 2000e-2(m), 2000e-5(g)(2)(B).</w:t>
      </w:r>
      <w:r w:rsidRPr="00D60BFC">
        <w:rPr>
          <w:rFonts w:ascii="Times New Roman" w:hAnsi="Times New Roman" w:cs="Times New Roman"/>
          <w:color w:val="FF0000"/>
          <w:sz w:val="24"/>
          <w:szCs w:val="24"/>
        </w:rPr>
        <w:t xml:space="preserve"> </w:t>
      </w:r>
      <w:r w:rsidRPr="00D60BFC">
        <w:rPr>
          <w:rFonts w:ascii="Times New Roman" w:hAnsi="Times New Roman" w:cs="Times New Roman"/>
          <w:sz w:val="24"/>
          <w:szCs w:val="24"/>
        </w:rPr>
        <w:t xml:space="preserve"> In such cases, if the employer can prove that it would have made the same employment decision for lawful reasons, the plaintiff’s relief is limited to declaratory relief, attorneys’ </w:t>
      </w:r>
      <w:proofErr w:type="gramStart"/>
      <w:r w:rsidRPr="00D60BFC">
        <w:rPr>
          <w:rFonts w:ascii="Times New Roman" w:hAnsi="Times New Roman" w:cs="Times New Roman"/>
          <w:sz w:val="24"/>
          <w:szCs w:val="24"/>
        </w:rPr>
        <w:t>fees</w:t>
      </w:r>
      <w:proofErr w:type="gramEnd"/>
      <w:r w:rsidRPr="00D60BFC">
        <w:rPr>
          <w:rFonts w:ascii="Times New Roman" w:hAnsi="Times New Roman" w:cs="Times New Roman"/>
          <w:sz w:val="24"/>
          <w:szCs w:val="24"/>
        </w:rPr>
        <w:t xml:space="preserve"> and costs.  </w:t>
      </w:r>
      <w:r w:rsidRPr="00D60BFC">
        <w:rPr>
          <w:rFonts w:ascii="Times New Roman" w:hAnsi="Times New Roman" w:cs="Times New Roman"/>
          <w:i/>
          <w:iCs/>
          <w:sz w:val="24"/>
          <w:szCs w:val="24"/>
        </w:rPr>
        <w:t>See</w:t>
      </w:r>
      <w:r w:rsidRPr="00D60BFC">
        <w:rPr>
          <w:rFonts w:ascii="Times New Roman" w:hAnsi="Times New Roman" w:cs="Times New Roman"/>
          <w:sz w:val="24"/>
          <w:szCs w:val="24"/>
        </w:rPr>
        <w:t xml:space="preserve"> 42 U.S.C. § 2000e-5(g)(2)(B); </w:t>
      </w:r>
      <w:proofErr w:type="spellStart"/>
      <w:r w:rsidRPr="00D60BFC">
        <w:rPr>
          <w:rFonts w:ascii="Times New Roman" w:hAnsi="Times New Roman" w:cs="Times New Roman"/>
          <w:i/>
          <w:iCs/>
          <w:sz w:val="24"/>
          <w:szCs w:val="24"/>
        </w:rPr>
        <w:t>O’Day</w:t>
      </w:r>
      <w:proofErr w:type="spellEnd"/>
      <w:r w:rsidRPr="00D60BFC">
        <w:rPr>
          <w:rFonts w:ascii="Times New Roman" w:hAnsi="Times New Roman" w:cs="Times New Roman"/>
          <w:i/>
          <w:iCs/>
          <w:sz w:val="24"/>
          <w:szCs w:val="24"/>
        </w:rPr>
        <w:t xml:space="preserve"> v. McDonnell Douglas Helicopter Co</w:t>
      </w:r>
      <w:r w:rsidRPr="00D60BFC">
        <w:rPr>
          <w:rFonts w:ascii="Times New Roman" w:hAnsi="Times New Roman" w:cs="Times New Roman"/>
          <w:sz w:val="24"/>
          <w:szCs w:val="24"/>
        </w:rPr>
        <w:t>., 79 F.3d 756, 760 (9th Cir. 1996).</w:t>
      </w:r>
    </w:p>
    <w:p w14:paraId="00F2211D"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3ECF813"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D60BFC" w:rsidRPr="00D60BFC" w:rsidSect="00D60BFC">
          <w:pgSz w:w="12240" w:h="15840"/>
          <w:pgMar w:top="1440" w:right="1440" w:bottom="1440" w:left="1440" w:header="1440" w:footer="1440" w:gutter="0"/>
          <w:cols w:space="720"/>
        </w:sectPr>
      </w:pPr>
    </w:p>
    <w:p w14:paraId="14F5E6FE"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lastRenderedPageBreak/>
        <w:tab/>
        <w:t xml:space="preserve">No </w:t>
      </w:r>
      <w:r w:rsidRPr="00D60BFC">
        <w:rPr>
          <w:rFonts w:ascii="Times New Roman" w:hAnsi="Times New Roman" w:cs="Times New Roman"/>
          <w:i/>
          <w:iCs/>
          <w:sz w:val="24"/>
          <w:szCs w:val="24"/>
        </w:rPr>
        <w:t>McDonnell Douglas</w:t>
      </w:r>
      <w:r w:rsidRPr="00D60BFC">
        <w:rPr>
          <w:rFonts w:ascii="Times New Roman" w:hAnsi="Times New Roman" w:cs="Times New Roman"/>
          <w:sz w:val="24"/>
          <w:szCs w:val="24"/>
        </w:rPr>
        <w:t xml:space="preserve"> burden-shifting instruction should be given in Title VII cases.  </w:t>
      </w:r>
      <w:r w:rsidRPr="00D60BFC">
        <w:rPr>
          <w:rFonts w:ascii="Times New Roman" w:hAnsi="Times New Roman" w:cs="Times New Roman"/>
          <w:i/>
          <w:iCs/>
          <w:sz w:val="24"/>
          <w:szCs w:val="24"/>
        </w:rPr>
        <w:t>Costa</w:t>
      </w:r>
      <w:r w:rsidRPr="00D60BFC">
        <w:rPr>
          <w:rFonts w:ascii="Times New Roman" w:hAnsi="Times New Roman" w:cs="Times New Roman"/>
          <w:sz w:val="24"/>
          <w:szCs w:val="24"/>
        </w:rPr>
        <w:t xml:space="preserve">, 299 F.3d at 855 (“it is not normally appropriate to introduce the </w:t>
      </w:r>
      <w:r w:rsidRPr="00D60BFC">
        <w:rPr>
          <w:rFonts w:ascii="Times New Roman" w:hAnsi="Times New Roman" w:cs="Times New Roman"/>
          <w:i/>
          <w:iCs/>
          <w:sz w:val="24"/>
          <w:szCs w:val="24"/>
        </w:rPr>
        <w:t xml:space="preserve">McDonnell Douglas </w:t>
      </w:r>
      <w:r w:rsidRPr="00D60BFC">
        <w:rPr>
          <w:rFonts w:ascii="Times New Roman" w:hAnsi="Times New Roman" w:cs="Times New Roman"/>
          <w:sz w:val="24"/>
          <w:szCs w:val="24"/>
        </w:rPr>
        <w:t xml:space="preserve">burden-shifting framework to the jury”); </w:t>
      </w:r>
      <w:r w:rsidRPr="00D60BFC">
        <w:rPr>
          <w:rFonts w:ascii="Times New Roman" w:hAnsi="Times New Roman" w:cs="Times New Roman"/>
          <w:i/>
          <w:iCs/>
          <w:sz w:val="24"/>
          <w:szCs w:val="24"/>
        </w:rPr>
        <w:t>see also Sanghvi v. City of</w:t>
      </w:r>
      <w:r w:rsidRPr="00D60BFC">
        <w:rPr>
          <w:rFonts w:ascii="Times New Roman" w:hAnsi="Times New Roman" w:cs="Times New Roman"/>
          <w:sz w:val="24"/>
          <w:szCs w:val="24"/>
        </w:rPr>
        <w:t xml:space="preserve"> </w:t>
      </w:r>
      <w:r w:rsidRPr="00D60BFC">
        <w:rPr>
          <w:rFonts w:ascii="Times New Roman" w:hAnsi="Times New Roman" w:cs="Times New Roman"/>
          <w:i/>
          <w:iCs/>
          <w:sz w:val="24"/>
          <w:szCs w:val="24"/>
        </w:rPr>
        <w:t>Claremont</w:t>
      </w:r>
      <w:r w:rsidRPr="00D60BFC">
        <w:rPr>
          <w:rFonts w:ascii="Times New Roman" w:hAnsi="Times New Roman" w:cs="Times New Roman"/>
          <w:sz w:val="24"/>
          <w:szCs w:val="24"/>
        </w:rPr>
        <w:t xml:space="preserve">, 328 F.3d 532, 540 (9th Cir. 2003) (“it is error to charge the jury with the elements of the </w:t>
      </w:r>
      <w:r w:rsidRPr="00D60BFC">
        <w:rPr>
          <w:rFonts w:ascii="Times New Roman" w:hAnsi="Times New Roman" w:cs="Times New Roman"/>
          <w:i/>
          <w:iCs/>
          <w:sz w:val="24"/>
          <w:szCs w:val="24"/>
        </w:rPr>
        <w:t xml:space="preserve">McDonnell Douglas </w:t>
      </w:r>
      <w:r w:rsidRPr="00D60BFC">
        <w:rPr>
          <w:rFonts w:ascii="Times New Roman" w:hAnsi="Times New Roman" w:cs="Times New Roman"/>
          <w:sz w:val="24"/>
          <w:szCs w:val="24"/>
        </w:rPr>
        <w:t xml:space="preserve">prima facie case”).  Cases discussing pretext and burden shifting arise in the summary judgment and directed verdict context.  </w:t>
      </w:r>
      <w:r w:rsidRPr="00D60BFC">
        <w:rPr>
          <w:rFonts w:ascii="Times New Roman" w:hAnsi="Times New Roman" w:cs="Times New Roman"/>
          <w:i/>
          <w:iCs/>
          <w:sz w:val="24"/>
          <w:szCs w:val="24"/>
        </w:rPr>
        <w:t>See</w:t>
      </w:r>
      <w:r w:rsidRPr="00D60BFC">
        <w:rPr>
          <w:rFonts w:ascii="Times New Roman" w:hAnsi="Times New Roman" w:cs="Times New Roman"/>
          <w:sz w:val="24"/>
          <w:szCs w:val="24"/>
        </w:rPr>
        <w:t>,</w:t>
      </w:r>
      <w:r w:rsidRPr="00D60BFC">
        <w:rPr>
          <w:rFonts w:ascii="Times New Roman" w:hAnsi="Times New Roman" w:cs="Times New Roman"/>
          <w:i/>
          <w:iCs/>
          <w:sz w:val="24"/>
          <w:szCs w:val="24"/>
        </w:rPr>
        <w:t xml:space="preserve"> e.g.</w:t>
      </w:r>
      <w:r w:rsidRPr="00D60BFC">
        <w:rPr>
          <w:rFonts w:ascii="Times New Roman" w:hAnsi="Times New Roman" w:cs="Times New Roman"/>
          <w:sz w:val="24"/>
          <w:szCs w:val="24"/>
        </w:rPr>
        <w:t xml:space="preserve">, </w:t>
      </w:r>
      <w:proofErr w:type="spellStart"/>
      <w:r w:rsidRPr="00D60BFC">
        <w:rPr>
          <w:rFonts w:ascii="Times New Roman" w:hAnsi="Times New Roman" w:cs="Times New Roman"/>
          <w:i/>
          <w:iCs/>
          <w:sz w:val="24"/>
          <w:szCs w:val="24"/>
        </w:rPr>
        <w:t>Yartzoff</w:t>
      </w:r>
      <w:proofErr w:type="spellEnd"/>
      <w:r w:rsidRPr="00D60BFC">
        <w:rPr>
          <w:rFonts w:ascii="Times New Roman" w:hAnsi="Times New Roman" w:cs="Times New Roman"/>
          <w:i/>
          <w:iCs/>
          <w:sz w:val="24"/>
          <w:szCs w:val="24"/>
        </w:rPr>
        <w:t xml:space="preserve"> v. Thomas</w:t>
      </w:r>
      <w:r w:rsidRPr="00D60BFC">
        <w:rPr>
          <w:rFonts w:ascii="Times New Roman" w:hAnsi="Times New Roman" w:cs="Times New Roman"/>
          <w:sz w:val="24"/>
          <w:szCs w:val="24"/>
        </w:rPr>
        <w:t xml:space="preserve">, 809 F.2d 1371, 1375 (9th Cir. 1987). </w:t>
      </w:r>
      <w:r w:rsidRPr="00D60BFC">
        <w:rPr>
          <w:rFonts w:ascii="Times New Roman" w:hAnsi="Times New Roman" w:cs="Times New Roman"/>
          <w:sz w:val="24"/>
          <w:szCs w:val="24"/>
        </w:rPr>
        <w:br/>
      </w:r>
    </w:p>
    <w:p w14:paraId="38AB6767" w14:textId="77777777" w:rsidR="00D60BFC" w:rsidRPr="00D60BFC" w:rsidRDefault="00D60BFC" w:rsidP="008771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r w:rsidRPr="00D60BFC">
        <w:rPr>
          <w:rFonts w:ascii="Times New Roman" w:hAnsi="Times New Roman" w:cs="Times New Roman"/>
          <w:i/>
          <w:iCs/>
          <w:sz w:val="24"/>
          <w:szCs w:val="24"/>
          <w:u w:val="single"/>
        </w:rPr>
        <w:t>Organization of Instructions</w:t>
      </w:r>
    </w:p>
    <w:p w14:paraId="22AABF0C"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B700707"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ab/>
        <w:t>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w:t>
      </w:r>
    </w:p>
    <w:p w14:paraId="63CA5EF3"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5A96E16"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ab/>
        <w:t xml:space="preserve">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at issue in the </w:t>
      </w:r>
      <w:proofErr w:type="gramStart"/>
      <w:r w:rsidRPr="00D60BFC">
        <w:rPr>
          <w:rFonts w:ascii="Times New Roman" w:hAnsi="Times New Roman" w:cs="Times New Roman"/>
          <w:sz w:val="24"/>
          <w:szCs w:val="24"/>
        </w:rPr>
        <w:t>particular case</w:t>
      </w:r>
      <w:proofErr w:type="gramEnd"/>
      <w:r w:rsidRPr="00D60BFC">
        <w:rPr>
          <w:rFonts w:ascii="Times New Roman" w:hAnsi="Times New Roman" w:cs="Times New Roman"/>
          <w:sz w:val="24"/>
          <w:szCs w:val="24"/>
        </w:rPr>
        <w:t>.</w:t>
      </w:r>
    </w:p>
    <w:p w14:paraId="2FF12BB8"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226F0A2"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D60BFC">
        <w:rPr>
          <w:rFonts w:ascii="Times New Roman" w:hAnsi="Times New Roman" w:cs="Times New Roman"/>
          <w:sz w:val="24"/>
          <w:szCs w:val="24"/>
        </w:rPr>
        <w:tab/>
        <w:t xml:space="preserve">No instructions have been provided for a claim of disparate impact under Title </w:t>
      </w:r>
      <w:proofErr w:type="gramStart"/>
      <w:r w:rsidRPr="00D60BFC">
        <w:rPr>
          <w:rFonts w:ascii="Times New Roman" w:hAnsi="Times New Roman" w:cs="Times New Roman"/>
          <w:sz w:val="24"/>
          <w:szCs w:val="24"/>
        </w:rPr>
        <w:t>VII,  although</w:t>
      </w:r>
      <w:proofErr w:type="gramEnd"/>
      <w:r w:rsidRPr="00D60BFC">
        <w:rPr>
          <w:rFonts w:ascii="Times New Roman" w:hAnsi="Times New Roman" w:cs="Times New Roman"/>
          <w:sz w:val="24"/>
          <w:szCs w:val="24"/>
        </w:rPr>
        <w:t xml:space="preserve"> such an instruction has been provided for a disparate impact claim for age discrimination under the ADEA.  </w:t>
      </w:r>
      <w:r w:rsidRPr="00D60BFC">
        <w:rPr>
          <w:rFonts w:ascii="Times New Roman" w:hAnsi="Times New Roman" w:cs="Times New Roman"/>
          <w:i/>
          <w:iCs/>
          <w:sz w:val="24"/>
          <w:szCs w:val="24"/>
        </w:rPr>
        <w:t xml:space="preserve">See </w:t>
      </w:r>
      <w:r w:rsidRPr="00D60BFC">
        <w:rPr>
          <w:rFonts w:ascii="Times New Roman" w:hAnsi="Times New Roman" w:cs="Times New Roman"/>
          <w:sz w:val="24"/>
          <w:szCs w:val="24"/>
        </w:rPr>
        <w:t xml:space="preserve">Instruction 11.4 (Age Discrimination—Disparate Impact—Elements).  For a detailed discussion of a disparate impact claim arising under the Fair Housing Act, </w:t>
      </w:r>
      <w:r w:rsidRPr="00D60BFC">
        <w:rPr>
          <w:rFonts w:ascii="Times New Roman" w:hAnsi="Times New Roman" w:cs="Times New Roman"/>
          <w:i/>
          <w:iCs/>
          <w:sz w:val="24"/>
          <w:szCs w:val="24"/>
        </w:rPr>
        <w:t>see Texas Department of Housing and Community Affairs v. Inclusive Communities Project, Inc</w:t>
      </w:r>
      <w:r w:rsidRPr="00D60BFC">
        <w:rPr>
          <w:rFonts w:ascii="Times New Roman" w:hAnsi="Times New Roman" w:cs="Times New Roman"/>
          <w:sz w:val="24"/>
          <w:szCs w:val="24"/>
        </w:rPr>
        <w:t xml:space="preserve">., 135 S. Ct. 2507 (2015) (relying on cases interpreting Title VII and the ADEA). </w:t>
      </w:r>
    </w:p>
    <w:p w14:paraId="3AEA58EF" w14:textId="77777777" w:rsidR="00D60BFC" w:rsidRPr="00D60BFC" w:rsidRDefault="00D60BFC" w:rsidP="00D60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4E0B292" w14:textId="4B6299BF" w:rsidR="00FE7F82" w:rsidRDefault="00D60BFC" w:rsidP="00D60BFC">
      <w:r w:rsidRPr="00D60BFC">
        <w:rPr>
          <w:rFonts w:ascii="Times New Roman" w:hAnsi="Times New Roman" w:cs="Times New Roman"/>
          <w:sz w:val="24"/>
          <w:szCs w:val="24"/>
        </w:rPr>
        <w:tab/>
        <w:t>In some cases when the employer is a public entity, the plaintiff also has the option of suing under 42 U.S.C. § 1983.  However, the general elements of such a claim are the same as under Title VII.  Accordingly, in addition to the essential elements of a 42 U.S.C. § 1983 claim, the court may wish to refer to Instructions 10.1 through 10.7 whenever the § 1983 claim is based on disparate treatment or harassment.</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FC"/>
    <w:rsid w:val="00877119"/>
    <w:rsid w:val="00887257"/>
    <w:rsid w:val="00C6056D"/>
    <w:rsid w:val="00D60BFC"/>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6C87"/>
  <w15:chartTrackingRefBased/>
  <w15:docId w15:val="{A7EAD6F9-59F3-4D1F-8FA6-A953E3D6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1429</Words>
  <Characters>7604</Characters>
  <Application>Microsoft Office Word</Application>
  <DocSecurity>0</DocSecurity>
  <Lines>155</Lines>
  <Paragraphs>44</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2021-10-19T18:48:00Z</dcterms:created>
  <dcterms:modified xsi:type="dcterms:W3CDTF">2021-11-01T16:33:00Z</dcterms:modified>
</cp:coreProperties>
</file>