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02461" w14:textId="77777777" w:rsidR="00771D87" w:rsidRPr="006A4CD7" w:rsidRDefault="00771D87" w:rsidP="00771D87">
      <w:pPr>
        <w:pStyle w:val="Heading2"/>
      </w:pPr>
      <w:bookmarkStart w:id="0" w:name="_Toc167357308"/>
      <w:r w:rsidRPr="006A4CD7">
        <w:t>Introductory Comment</w:t>
      </w:r>
      <w:bookmarkEnd w:id="0"/>
    </w:p>
    <w:p w14:paraId="2F107894" w14:textId="77777777" w:rsidR="00771D87" w:rsidRPr="006A4CD7" w:rsidRDefault="00771D87" w:rsidP="00771D87">
      <w:pPr>
        <w:autoSpaceDE w:val="0"/>
        <w:autoSpaceDN w:val="0"/>
        <w:adjustRightInd w:val="0"/>
        <w:rPr>
          <w:rFonts w:cs="Times New Roman"/>
          <w:szCs w:val="24"/>
        </w:rPr>
      </w:pPr>
    </w:p>
    <w:p w14:paraId="25EE895A" w14:textId="77777777" w:rsidR="00771D87" w:rsidRPr="006A4CD7" w:rsidRDefault="00771D87" w:rsidP="00771D87">
      <w:pPr>
        <w:autoSpaceDE w:val="0"/>
        <w:autoSpaceDN w:val="0"/>
        <w:adjustRightInd w:val="0"/>
        <w:rPr>
          <w:rFonts w:cs="Times New Roman"/>
          <w:szCs w:val="24"/>
        </w:rPr>
      </w:pPr>
      <w:r w:rsidRPr="006A4CD7">
        <w:rPr>
          <w:rFonts w:cs="Times New Roman"/>
          <w:szCs w:val="24"/>
        </w:rPr>
        <w:tab/>
        <w:t xml:space="preserve">The Age Discrimination in Employment Act (ADEA), 29 U.S.C. § 621 </w:t>
      </w:r>
      <w:r w:rsidRPr="006A4CD7">
        <w:rPr>
          <w:rFonts w:cs="Times New Roman"/>
          <w:i/>
          <w:iCs/>
          <w:szCs w:val="24"/>
        </w:rPr>
        <w:t>et seq.</w:t>
      </w:r>
      <w:r w:rsidRPr="006A4CD7">
        <w:rPr>
          <w:rFonts w:cs="Times New Roman"/>
          <w:szCs w:val="24"/>
        </w:rPr>
        <w:t xml:space="preserve">, protects workers aged forty or older from employment discrimination on the basis of their age.  The Act applies to private employers who have twenty or more employees for each working day.  The Act also applies to States and political subdivisions of a State, regardless of the number of employees who work in that subdivision.  29 U.S.C. § 630(b); </w:t>
      </w:r>
      <w:r w:rsidRPr="006A4CD7">
        <w:rPr>
          <w:rFonts w:cs="Times New Roman"/>
          <w:i/>
          <w:iCs/>
          <w:szCs w:val="24"/>
        </w:rPr>
        <w:t>Mount Lemmon Fire Dist. v. Guido</w:t>
      </w:r>
      <w:r w:rsidRPr="006A4CD7">
        <w:rPr>
          <w:rFonts w:cs="Times New Roman"/>
          <w:szCs w:val="24"/>
        </w:rPr>
        <w:t xml:space="preserve">, 139 S. Ct. 22 (9th Cir. 2018).  </w:t>
      </w:r>
    </w:p>
    <w:p w14:paraId="4B181564" w14:textId="77777777" w:rsidR="00771D87" w:rsidRPr="006A4CD7" w:rsidRDefault="00771D87" w:rsidP="00771D87">
      <w:pPr>
        <w:autoSpaceDE w:val="0"/>
        <w:autoSpaceDN w:val="0"/>
        <w:adjustRightInd w:val="0"/>
        <w:rPr>
          <w:rFonts w:cs="Times New Roman"/>
          <w:szCs w:val="24"/>
        </w:rPr>
      </w:pPr>
    </w:p>
    <w:p w14:paraId="75F9730B" w14:textId="77777777" w:rsidR="00771D87" w:rsidRPr="006A4CD7" w:rsidRDefault="00771D87" w:rsidP="00771D87">
      <w:pPr>
        <w:autoSpaceDE w:val="0"/>
        <w:autoSpaceDN w:val="0"/>
        <w:adjustRightInd w:val="0"/>
        <w:rPr>
          <w:rFonts w:cs="Times New Roman"/>
          <w:szCs w:val="24"/>
        </w:rPr>
      </w:pPr>
      <w:r w:rsidRPr="006A4CD7">
        <w:rPr>
          <w:rFonts w:cs="Times New Roman"/>
          <w:szCs w:val="24"/>
        </w:rPr>
        <w:tab/>
        <w:t xml:space="preserve">Because of the numerous similarities between the ADEA and Title VII, the instructions in this chapter generally mirror the Committee’s organization of Title VII instructions by theory of liability, as used in Chapter 10 (Civil Rights—Title VII—Employment Discrimination; Harassment; Retaliation).  As with Title VII, the ADEA recognizes claims under both disparate treatment and disparate impact theories of liability.  </w:t>
      </w:r>
      <w:r w:rsidRPr="006A4CD7">
        <w:rPr>
          <w:rFonts w:cs="Times New Roman"/>
          <w:i/>
          <w:iCs/>
          <w:szCs w:val="24"/>
        </w:rPr>
        <w:t>See Smith v. City of Jackson</w:t>
      </w:r>
      <w:r w:rsidRPr="006A4CD7">
        <w:rPr>
          <w:rFonts w:cs="Times New Roman"/>
          <w:szCs w:val="24"/>
        </w:rPr>
        <w:t xml:space="preserve">, 544 U.S. 228, 231-34 (2005); </w:t>
      </w:r>
      <w:r w:rsidRPr="006A4CD7">
        <w:rPr>
          <w:rFonts w:cs="Times New Roman"/>
          <w:i/>
          <w:iCs/>
          <w:szCs w:val="24"/>
        </w:rPr>
        <w:t>see also Sheppard v. David Evans &amp; Assoc</w:t>
      </w:r>
      <w:r w:rsidRPr="006A4CD7">
        <w:rPr>
          <w:rFonts w:cs="Times New Roman"/>
          <w:szCs w:val="24"/>
        </w:rPr>
        <w:t>., 694 F.3d 1045, 1049 &amp; n.1 (9th Cir. 2012).  The Committee recommends that the court first identify the theory under which the plaintiff has asserted an ADEA claim, and then refer to the relevant subchapter for applicable jury instructions.</w:t>
      </w:r>
    </w:p>
    <w:p w14:paraId="7DBF6567" w14:textId="77777777" w:rsidR="00771D87" w:rsidRPr="006A4CD7" w:rsidRDefault="00771D87" w:rsidP="00771D87">
      <w:pPr>
        <w:autoSpaceDE w:val="0"/>
        <w:autoSpaceDN w:val="0"/>
        <w:adjustRightInd w:val="0"/>
        <w:rPr>
          <w:rFonts w:cs="Times New Roman"/>
          <w:szCs w:val="24"/>
        </w:rPr>
      </w:pPr>
    </w:p>
    <w:p w14:paraId="32A21CBA" w14:textId="77777777" w:rsidR="00771D87" w:rsidRPr="006A4CD7" w:rsidRDefault="00771D87" w:rsidP="00771D87">
      <w:pPr>
        <w:autoSpaceDE w:val="0"/>
        <w:autoSpaceDN w:val="0"/>
        <w:adjustRightInd w:val="0"/>
        <w:rPr>
          <w:rFonts w:cs="Times New Roman"/>
          <w:szCs w:val="24"/>
        </w:rPr>
      </w:pPr>
      <w:r w:rsidRPr="006A4CD7">
        <w:rPr>
          <w:rFonts w:cs="Times New Roman"/>
          <w:szCs w:val="24"/>
        </w:rPr>
        <w:tab/>
        <w:t>In some cases of employment discrimination under Title VII (</w:t>
      </w:r>
      <w:r w:rsidRPr="006A4CD7">
        <w:rPr>
          <w:rFonts w:cs="Times New Roman"/>
          <w:i/>
          <w:iCs/>
          <w:szCs w:val="24"/>
        </w:rPr>
        <w:t>i.e</w:t>
      </w:r>
      <w:r w:rsidRPr="006A4CD7">
        <w:rPr>
          <w:rFonts w:cs="Times New Roman"/>
          <w:szCs w:val="24"/>
        </w:rPr>
        <w:t xml:space="preserve">., when the employer is a public entity), the plaintiff has the option of suing under 42 U.S.C. § 1983.  However, the ADEA is the exclusive remedy for a federal age discrimination claim.  </w:t>
      </w:r>
      <w:r w:rsidRPr="006A4CD7">
        <w:rPr>
          <w:rFonts w:cs="Times New Roman"/>
          <w:i/>
          <w:iCs/>
          <w:szCs w:val="24"/>
        </w:rPr>
        <w:t xml:space="preserve">See </w:t>
      </w:r>
      <w:proofErr w:type="spellStart"/>
      <w:r w:rsidRPr="006A4CD7">
        <w:rPr>
          <w:rFonts w:cs="Times New Roman"/>
          <w:i/>
          <w:iCs/>
          <w:szCs w:val="24"/>
        </w:rPr>
        <w:t>Ahlmeyer</w:t>
      </w:r>
      <w:proofErr w:type="spellEnd"/>
      <w:r w:rsidRPr="006A4CD7">
        <w:rPr>
          <w:rFonts w:cs="Times New Roman"/>
          <w:i/>
          <w:iCs/>
          <w:szCs w:val="24"/>
        </w:rPr>
        <w:t xml:space="preserve"> v. Nev. Sys. of Higher Educ.</w:t>
      </w:r>
      <w:r w:rsidRPr="006A4CD7">
        <w:rPr>
          <w:rFonts w:cs="Times New Roman"/>
          <w:szCs w:val="24"/>
        </w:rPr>
        <w:t>, 555 F.3d 1051, 1056 (9th Cir. 2009).</w:t>
      </w:r>
    </w:p>
    <w:p w14:paraId="1034CC3D" w14:textId="77777777" w:rsidR="00771D87" w:rsidRPr="006A4CD7" w:rsidRDefault="00771D87" w:rsidP="00771D87">
      <w:pPr>
        <w:autoSpaceDE w:val="0"/>
        <w:autoSpaceDN w:val="0"/>
        <w:adjustRightInd w:val="0"/>
        <w:rPr>
          <w:rFonts w:cs="Times New Roman"/>
          <w:szCs w:val="24"/>
        </w:rPr>
      </w:pPr>
    </w:p>
    <w:p w14:paraId="548BEA45" w14:textId="77777777" w:rsidR="00771D87" w:rsidRPr="006A4CD7" w:rsidRDefault="00771D87" w:rsidP="00771D87">
      <w:pPr>
        <w:autoSpaceDE w:val="0"/>
        <w:autoSpaceDN w:val="0"/>
        <w:adjustRightInd w:val="0"/>
        <w:rPr>
          <w:rFonts w:cs="Times New Roman"/>
          <w:szCs w:val="24"/>
        </w:rPr>
      </w:pPr>
      <w:r w:rsidRPr="006A4CD7">
        <w:rPr>
          <w:rFonts w:cs="Times New Roman"/>
          <w:szCs w:val="24"/>
        </w:rPr>
        <w:tab/>
        <w:t xml:space="preserve">“The ADEA and Title VII share common substantive features and also a common purpose: ‘the elimination of discrimination in the workplace.’”  </w:t>
      </w:r>
      <w:r w:rsidRPr="006A4CD7">
        <w:rPr>
          <w:rFonts w:cs="Times New Roman"/>
          <w:i/>
          <w:iCs/>
          <w:szCs w:val="24"/>
        </w:rPr>
        <w:t>McKennon v. Nashville Banner Publ’g Co</w:t>
      </w:r>
      <w:r w:rsidRPr="006A4CD7">
        <w:rPr>
          <w:rFonts w:cs="Times New Roman"/>
          <w:szCs w:val="24"/>
        </w:rPr>
        <w:t xml:space="preserve">., 513 U.S. 352, 358 (1995) (quoting </w:t>
      </w:r>
      <w:r w:rsidRPr="006A4CD7">
        <w:rPr>
          <w:rFonts w:cs="Times New Roman"/>
          <w:i/>
          <w:iCs/>
          <w:szCs w:val="24"/>
        </w:rPr>
        <w:t>Oscar Mayer &amp; Co. v. Evans</w:t>
      </w:r>
      <w:r w:rsidRPr="006A4CD7">
        <w:rPr>
          <w:rFonts w:cs="Times New Roman"/>
          <w:szCs w:val="24"/>
        </w:rPr>
        <w:t xml:space="preserve">, 441 U.S. 750, 756 (1979)).  Further, certain “language in the ADEA . . . was ‘derived </w:t>
      </w:r>
      <w:r w:rsidRPr="006A4CD7">
        <w:rPr>
          <w:rFonts w:cs="Times New Roman"/>
          <w:i/>
          <w:iCs/>
          <w:szCs w:val="24"/>
        </w:rPr>
        <w:t xml:space="preserve">in haec </w:t>
      </w:r>
      <w:proofErr w:type="spellStart"/>
      <w:r w:rsidRPr="006A4CD7">
        <w:rPr>
          <w:rFonts w:cs="Times New Roman"/>
          <w:i/>
          <w:iCs/>
          <w:szCs w:val="24"/>
        </w:rPr>
        <w:t>verba</w:t>
      </w:r>
      <w:proofErr w:type="spellEnd"/>
      <w:r w:rsidRPr="006A4CD7">
        <w:rPr>
          <w:rFonts w:cs="Times New Roman"/>
          <w:szCs w:val="24"/>
        </w:rPr>
        <w:t xml:space="preserve"> from Title VII.’” </w:t>
      </w:r>
      <w:r w:rsidRPr="006A4CD7">
        <w:rPr>
          <w:rFonts w:cs="Times New Roman"/>
          <w:i/>
          <w:iCs/>
          <w:szCs w:val="24"/>
        </w:rPr>
        <w:t>Smith</w:t>
      </w:r>
      <w:r w:rsidRPr="006A4CD7">
        <w:rPr>
          <w:rFonts w:cs="Times New Roman"/>
          <w:szCs w:val="24"/>
        </w:rPr>
        <w:t xml:space="preserve">, 544 U.S. at 234.  On issues when the ADEA and Title VII are in substantial accord, appropriately modified Title VII instructions should be given, as cross-referenced in this chapter.  </w:t>
      </w:r>
      <w:r w:rsidRPr="006A4CD7">
        <w:rPr>
          <w:rFonts w:cs="Times New Roman"/>
          <w:i/>
          <w:iCs/>
          <w:szCs w:val="24"/>
        </w:rPr>
        <w:t>See</w:t>
      </w:r>
      <w:r w:rsidRPr="006A4CD7">
        <w:rPr>
          <w:rFonts w:cs="Times New Roman"/>
          <w:szCs w:val="24"/>
        </w:rPr>
        <w:t xml:space="preserve"> Comments to Instructions 11.2 (Age Discrimination—Hostile Work Environment); 11.3 (Age Discrimination—Retaliation); 11.5 (Age Discrimination—Definition of Common Terms); 11.7 (Age Discrimination—Defenses—Bona Fide Occupational Qualification); 11.8 (Age Discrimination—Defenses—Bona Fide Seniority System); and 11.9 (Age Discrimination—Defenses—After-Acquired Evidence).</w:t>
      </w:r>
    </w:p>
    <w:p w14:paraId="16A7360E" w14:textId="77777777" w:rsidR="00771D87" w:rsidRPr="006A4CD7" w:rsidRDefault="00771D87" w:rsidP="00771D87">
      <w:pPr>
        <w:autoSpaceDE w:val="0"/>
        <w:autoSpaceDN w:val="0"/>
        <w:adjustRightInd w:val="0"/>
        <w:rPr>
          <w:rFonts w:cs="Times New Roman"/>
          <w:szCs w:val="24"/>
        </w:rPr>
      </w:pPr>
    </w:p>
    <w:p w14:paraId="27D17A86" w14:textId="77777777" w:rsidR="00771D87" w:rsidRPr="006A4CD7" w:rsidRDefault="00771D87" w:rsidP="00771D87">
      <w:pPr>
        <w:autoSpaceDE w:val="0"/>
        <w:autoSpaceDN w:val="0"/>
        <w:adjustRightInd w:val="0"/>
        <w:rPr>
          <w:rFonts w:cs="Times New Roman"/>
          <w:b/>
          <w:bCs/>
          <w:szCs w:val="24"/>
          <w:u w:val="single"/>
        </w:rPr>
      </w:pPr>
      <w:r w:rsidRPr="006A4CD7">
        <w:rPr>
          <w:rFonts w:cs="Times New Roman"/>
          <w:szCs w:val="24"/>
        </w:rPr>
        <w:tab/>
        <w:t>The ADEA and Title VII are not identical.  A brief summary of their differences is set forth below.</w:t>
      </w:r>
    </w:p>
    <w:p w14:paraId="2A562C71" w14:textId="77777777" w:rsidR="00771D87" w:rsidRPr="006A4CD7" w:rsidRDefault="00771D87" w:rsidP="00771D87">
      <w:pPr>
        <w:autoSpaceDE w:val="0"/>
        <w:autoSpaceDN w:val="0"/>
        <w:adjustRightInd w:val="0"/>
        <w:rPr>
          <w:rFonts w:cs="Times New Roman"/>
          <w:b/>
          <w:bCs/>
          <w:szCs w:val="24"/>
          <w:u w:val="single"/>
        </w:rPr>
      </w:pPr>
    </w:p>
    <w:p w14:paraId="46F3A2A6" w14:textId="77777777" w:rsidR="00771D87" w:rsidRPr="006A4CD7" w:rsidRDefault="00771D87" w:rsidP="00771D87">
      <w:pPr>
        <w:autoSpaceDE w:val="0"/>
        <w:autoSpaceDN w:val="0"/>
        <w:adjustRightInd w:val="0"/>
        <w:rPr>
          <w:rFonts w:cs="Times New Roman"/>
          <w:szCs w:val="24"/>
        </w:rPr>
      </w:pPr>
      <w:r w:rsidRPr="006A4CD7">
        <w:rPr>
          <w:rFonts w:cs="Times New Roman"/>
          <w:b/>
          <w:bCs/>
          <w:szCs w:val="24"/>
        </w:rPr>
        <w:tab/>
      </w:r>
      <w:r w:rsidRPr="006A4CD7">
        <w:rPr>
          <w:rFonts w:cs="Times New Roman"/>
          <w:b/>
          <w:bCs/>
          <w:szCs w:val="24"/>
          <w:u w:val="single"/>
        </w:rPr>
        <w:t>Mixed Motives</w:t>
      </w:r>
      <w:r w:rsidRPr="006A4CD7">
        <w:rPr>
          <w:rFonts w:cs="Times New Roman"/>
          <w:szCs w:val="24"/>
        </w:rPr>
        <w:t xml:space="preserve">:  A Title VII plaintiff need only prove that a protected status was “a motivating factor” for an adverse employment action.  </w:t>
      </w:r>
      <w:r w:rsidRPr="006A4CD7">
        <w:rPr>
          <w:rFonts w:cs="Times New Roman"/>
          <w:i/>
          <w:iCs/>
          <w:szCs w:val="24"/>
        </w:rPr>
        <w:t>Desert Palace, Inc. v. Costa</w:t>
      </w:r>
      <w:r w:rsidRPr="006A4CD7">
        <w:rPr>
          <w:rFonts w:cs="Times New Roman"/>
          <w:szCs w:val="24"/>
        </w:rPr>
        <w:t xml:space="preserve">, 539 U.S. 90, 101 (2003).  However, “textual differences between Title VII and the ADEA . . . prevent . . . [application of] </w:t>
      </w:r>
      <w:bookmarkStart w:id="1" w:name="SR_59_4136"/>
      <w:bookmarkEnd w:id="1"/>
      <w:r w:rsidRPr="006A4CD7">
        <w:rPr>
          <w:rFonts w:cs="Times New Roman"/>
          <w:i/>
          <w:iCs/>
          <w:szCs w:val="24"/>
        </w:rPr>
        <w:t>Desert Palace</w:t>
      </w:r>
      <w:r w:rsidRPr="006A4CD7">
        <w:rPr>
          <w:rFonts w:cs="Times New Roman"/>
          <w:szCs w:val="24"/>
        </w:rPr>
        <w:t xml:space="preserve"> to federal age discrimination claims.”  </w:t>
      </w:r>
      <w:r w:rsidRPr="006A4CD7">
        <w:rPr>
          <w:rFonts w:cs="Times New Roman"/>
          <w:i/>
          <w:iCs/>
          <w:szCs w:val="24"/>
        </w:rPr>
        <w:t>Gross v. FBL Fin. Services, Inc</w:t>
      </w:r>
      <w:r w:rsidRPr="006A4CD7">
        <w:rPr>
          <w:rFonts w:cs="Times New Roman"/>
          <w:szCs w:val="24"/>
        </w:rPr>
        <w:t xml:space="preserve">., 557 U.S. 167, 175 &amp; n.2 (2009).  In </w:t>
      </w:r>
      <w:r w:rsidRPr="006A4CD7">
        <w:rPr>
          <w:rFonts w:cs="Times New Roman"/>
          <w:i/>
          <w:iCs/>
          <w:szCs w:val="24"/>
        </w:rPr>
        <w:t>Gross</w:t>
      </w:r>
      <w:r w:rsidRPr="006A4CD7">
        <w:rPr>
          <w:rFonts w:cs="Times New Roman"/>
          <w:szCs w:val="24"/>
        </w:rPr>
        <w:t xml:space="preserve">, the Court held that “a plaintiff bringing a disparate-treatment claim pursuant to the ADEA must prove, by a preponderance of the evidence, that age was the ‘but-for’ cause of the challenged adverse employment action.  The </w:t>
      </w:r>
      <w:r w:rsidRPr="006A4CD7">
        <w:rPr>
          <w:rFonts w:cs="Times New Roman"/>
          <w:szCs w:val="24"/>
        </w:rPr>
        <w:lastRenderedPageBreak/>
        <w:t xml:space="preserve">burden of persuasion does not shift to the employer to show that it would have taken the action regardless of age, even when a plaintiff has produced some evidence that age was one motivating factor in that decision.”  </w:t>
      </w:r>
      <w:r w:rsidRPr="006A4CD7">
        <w:rPr>
          <w:rFonts w:cs="Times New Roman"/>
          <w:i/>
          <w:iCs/>
          <w:szCs w:val="24"/>
        </w:rPr>
        <w:t xml:space="preserve">Id. at </w:t>
      </w:r>
      <w:r w:rsidRPr="006A4CD7">
        <w:rPr>
          <w:rFonts w:cs="Times New Roman"/>
          <w:szCs w:val="24"/>
        </w:rPr>
        <w:t xml:space="preserve">180.  Thus, it was reversible error to instruct the jury using Title VII’s “motivating factor” formulation.  </w:t>
      </w:r>
      <w:r w:rsidRPr="006A4CD7">
        <w:rPr>
          <w:rFonts w:cs="Times New Roman"/>
          <w:i/>
          <w:iCs/>
          <w:szCs w:val="24"/>
        </w:rPr>
        <w:t>Id</w:t>
      </w:r>
      <w:r w:rsidRPr="006A4CD7">
        <w:rPr>
          <w:rFonts w:cs="Times New Roman"/>
          <w:szCs w:val="24"/>
        </w:rPr>
        <w:t xml:space="preserve">. at 170-71.  Earlier Ninth Circuit cases applying the same standards to cases proceeding on disparate treatment or retaliation theories under the two statutes must now be read carefully in light of </w:t>
      </w:r>
      <w:r w:rsidRPr="006A4CD7">
        <w:rPr>
          <w:rFonts w:cs="Times New Roman"/>
          <w:i/>
          <w:iCs/>
          <w:szCs w:val="24"/>
        </w:rPr>
        <w:t>Gross</w:t>
      </w:r>
      <w:r w:rsidRPr="006A4CD7">
        <w:rPr>
          <w:rFonts w:cs="Times New Roman"/>
          <w:szCs w:val="24"/>
        </w:rPr>
        <w:t xml:space="preserve">.  </w:t>
      </w:r>
      <w:r w:rsidRPr="006A4CD7">
        <w:rPr>
          <w:rFonts w:cs="Times New Roman"/>
          <w:i/>
          <w:iCs/>
          <w:szCs w:val="24"/>
        </w:rPr>
        <w:t>See generally Coleman v. Quaker Oats Co.</w:t>
      </w:r>
      <w:r w:rsidRPr="006A4CD7">
        <w:rPr>
          <w:rFonts w:cs="Times New Roman"/>
          <w:szCs w:val="24"/>
        </w:rPr>
        <w:t xml:space="preserve">, 232 F.3d 1271, 1295 (9th Cir. 2000) (“The analysis under Title VII is the same as that under ADEA.”); </w:t>
      </w:r>
      <w:r w:rsidRPr="006A4CD7">
        <w:rPr>
          <w:rFonts w:cs="Times New Roman"/>
          <w:i/>
          <w:iCs/>
          <w:szCs w:val="24"/>
        </w:rPr>
        <w:t>Mustafa v. Clark County Sch. Dist.</w:t>
      </w:r>
      <w:r w:rsidRPr="006A4CD7">
        <w:rPr>
          <w:rFonts w:cs="Times New Roman"/>
          <w:szCs w:val="24"/>
        </w:rPr>
        <w:t xml:space="preserve">, 157 F.3d 1169, 1180 n.11 (9th Cir. 1998) (“This Court applies the same standards to disparate treatment claims pursuant to Title VII [and] the Age Discrimination in Employment Act . . . .”); </w:t>
      </w:r>
      <w:r w:rsidRPr="006A4CD7">
        <w:rPr>
          <w:rFonts w:cs="Times New Roman"/>
          <w:i/>
          <w:iCs/>
          <w:szCs w:val="24"/>
        </w:rPr>
        <w:t>Stillwell v. City of Williams</w:t>
      </w:r>
      <w:r w:rsidRPr="006A4CD7">
        <w:rPr>
          <w:rFonts w:cs="Times New Roman"/>
          <w:szCs w:val="24"/>
        </w:rPr>
        <w:t xml:space="preserve">, 831 F.3d 1234, 1246-47 (9th Cir. 2016) (“Section 623(d) is the ADEA equivalent of the anti-retaliation provision of Title VII.”). </w:t>
      </w:r>
      <w:r w:rsidRPr="006A4CD7">
        <w:rPr>
          <w:rFonts w:cs="Times New Roman"/>
          <w:i/>
          <w:iCs/>
          <w:szCs w:val="24"/>
        </w:rPr>
        <w:t xml:space="preserve"> See</w:t>
      </w:r>
      <w:r w:rsidRPr="006A4CD7">
        <w:rPr>
          <w:rFonts w:cs="Times New Roman"/>
          <w:szCs w:val="24"/>
        </w:rPr>
        <w:t xml:space="preserve"> Instructions 11.2 (Age Discrimination—Hostile Work Environment), 11.3 (Age Discrimination—Retaliation).</w:t>
      </w:r>
    </w:p>
    <w:p w14:paraId="0BB38B9B" w14:textId="77777777" w:rsidR="00771D87" w:rsidRPr="006A4CD7" w:rsidRDefault="00771D87" w:rsidP="00771D87">
      <w:pPr>
        <w:autoSpaceDE w:val="0"/>
        <w:autoSpaceDN w:val="0"/>
        <w:adjustRightInd w:val="0"/>
        <w:rPr>
          <w:rFonts w:cs="Times New Roman"/>
          <w:szCs w:val="24"/>
        </w:rPr>
      </w:pPr>
    </w:p>
    <w:p w14:paraId="01FF6FDC" w14:textId="77777777" w:rsidR="00771D87" w:rsidRPr="006A4CD7" w:rsidRDefault="00771D87" w:rsidP="00771D87">
      <w:pPr>
        <w:autoSpaceDE w:val="0"/>
        <w:autoSpaceDN w:val="0"/>
        <w:adjustRightInd w:val="0"/>
        <w:rPr>
          <w:rFonts w:cs="Times New Roman"/>
          <w:szCs w:val="24"/>
        </w:rPr>
      </w:pPr>
      <w:r w:rsidRPr="006A4CD7">
        <w:rPr>
          <w:rFonts w:cs="Times New Roman"/>
          <w:szCs w:val="24"/>
        </w:rPr>
        <w:tab/>
      </w:r>
      <w:r w:rsidRPr="006A4CD7">
        <w:rPr>
          <w:rFonts w:cs="Times New Roman"/>
          <w:b/>
          <w:bCs/>
          <w:szCs w:val="24"/>
          <w:u w:val="single"/>
        </w:rPr>
        <w:t>Disparate Impact</w:t>
      </w:r>
      <w:r w:rsidRPr="006A4CD7">
        <w:rPr>
          <w:rFonts w:cs="Times New Roman"/>
          <w:szCs w:val="24"/>
        </w:rPr>
        <w:t xml:space="preserve">:  After longstanding uncertainty on the issue, </w:t>
      </w:r>
      <w:r w:rsidRPr="006A4CD7">
        <w:rPr>
          <w:rFonts w:cs="Times New Roman"/>
          <w:i/>
          <w:iCs/>
          <w:szCs w:val="24"/>
        </w:rPr>
        <w:t>Smith</w:t>
      </w:r>
      <w:r w:rsidRPr="006A4CD7">
        <w:rPr>
          <w:rFonts w:cs="Times New Roman"/>
          <w:szCs w:val="24"/>
        </w:rPr>
        <w:t xml:space="preserve"> held that an ADEA claim may be predicated on a disparate impact theory.  544 U.S. at 240.  However, the Court held that because the Civil Rights Act of 1991 did not amend the ADEA, the pre-1991 heightened disparate impact standard applies.  </w:t>
      </w:r>
      <w:r w:rsidRPr="006A4CD7">
        <w:rPr>
          <w:rFonts w:cs="Times New Roman"/>
          <w:i/>
          <w:iCs/>
          <w:szCs w:val="24"/>
        </w:rPr>
        <w:t xml:space="preserve">Id. </w:t>
      </w:r>
      <w:r w:rsidRPr="006A4CD7">
        <w:rPr>
          <w:rFonts w:cs="Times New Roman"/>
          <w:szCs w:val="24"/>
        </w:rPr>
        <w:t xml:space="preserve">(citing </w:t>
      </w:r>
      <w:r w:rsidRPr="006A4CD7">
        <w:rPr>
          <w:rFonts w:cs="Times New Roman"/>
          <w:i/>
          <w:iCs/>
          <w:szCs w:val="24"/>
        </w:rPr>
        <w:t>Wards Cove Packing Co. v. Atonio</w:t>
      </w:r>
      <w:r w:rsidRPr="006A4CD7">
        <w:rPr>
          <w:rFonts w:cs="Times New Roman"/>
          <w:szCs w:val="24"/>
        </w:rPr>
        <w:t xml:space="preserve">, 490 U.S. 642 (1989)).  Thus, in order to prove a disparate impact claim, plaintiffs must identify a “specific test, requirement, or practice . . . that has an adverse impact on older workers.”  </w:t>
      </w:r>
      <w:r w:rsidRPr="006A4CD7">
        <w:rPr>
          <w:rFonts w:cs="Times New Roman"/>
          <w:i/>
          <w:iCs/>
          <w:szCs w:val="24"/>
        </w:rPr>
        <w:t>Id</w:t>
      </w:r>
      <w:r w:rsidRPr="006A4CD7">
        <w:rPr>
          <w:rFonts w:cs="Times New Roman"/>
          <w:szCs w:val="24"/>
        </w:rPr>
        <w:t xml:space="preserve">. at 241; </w:t>
      </w:r>
      <w:r w:rsidRPr="006A4CD7">
        <w:rPr>
          <w:rFonts w:cs="Times New Roman"/>
          <w:i/>
          <w:iCs/>
          <w:szCs w:val="24"/>
        </w:rPr>
        <w:t>see also</w:t>
      </w:r>
      <w:r w:rsidRPr="006A4CD7">
        <w:rPr>
          <w:rFonts w:cs="Times New Roman"/>
          <w:szCs w:val="24"/>
        </w:rPr>
        <w:t xml:space="preserve"> </w:t>
      </w:r>
      <w:r w:rsidRPr="006A4CD7">
        <w:rPr>
          <w:rFonts w:cs="Times New Roman"/>
          <w:i/>
          <w:iCs/>
          <w:szCs w:val="24"/>
        </w:rPr>
        <w:t>Meacham v. Knolls Atomic Power Lab.</w:t>
      </w:r>
      <w:r w:rsidRPr="006A4CD7">
        <w:rPr>
          <w:rFonts w:cs="Times New Roman"/>
          <w:szCs w:val="24"/>
        </w:rPr>
        <w:t>, 554 U.S. 84, 100 (2008); Instruction 11.4 (Age Discrimination—Disparate Impact—Elements).</w:t>
      </w:r>
    </w:p>
    <w:p w14:paraId="3F730764" w14:textId="77777777" w:rsidR="00771D87" w:rsidRPr="006A4CD7" w:rsidRDefault="00771D87" w:rsidP="00771D87">
      <w:pPr>
        <w:autoSpaceDE w:val="0"/>
        <w:autoSpaceDN w:val="0"/>
        <w:adjustRightInd w:val="0"/>
        <w:rPr>
          <w:rFonts w:cs="Times New Roman"/>
          <w:szCs w:val="24"/>
        </w:rPr>
      </w:pPr>
    </w:p>
    <w:p w14:paraId="3AEF5136" w14:textId="77777777" w:rsidR="00771D87" w:rsidRDefault="00771D87" w:rsidP="00771D87">
      <w:pPr>
        <w:autoSpaceDE w:val="0"/>
        <w:autoSpaceDN w:val="0"/>
        <w:adjustRightInd w:val="0"/>
        <w:rPr>
          <w:rFonts w:cs="Times New Roman"/>
          <w:szCs w:val="24"/>
        </w:rPr>
      </w:pPr>
      <w:r w:rsidRPr="006A4CD7">
        <w:rPr>
          <w:rFonts w:cs="Times New Roman"/>
          <w:b/>
          <w:bCs/>
          <w:szCs w:val="24"/>
        </w:rPr>
        <w:tab/>
      </w:r>
      <w:r w:rsidRPr="006A4CD7">
        <w:rPr>
          <w:rFonts w:cs="Times New Roman"/>
          <w:b/>
          <w:bCs/>
          <w:szCs w:val="24"/>
          <w:u w:val="single"/>
        </w:rPr>
        <w:t>Defenses</w:t>
      </w:r>
      <w:r w:rsidRPr="006A4CD7">
        <w:rPr>
          <w:rFonts w:cs="Times New Roman"/>
          <w:b/>
          <w:bCs/>
          <w:szCs w:val="24"/>
        </w:rPr>
        <w:t xml:space="preserve">: </w:t>
      </w:r>
      <w:r w:rsidRPr="006A4CD7">
        <w:rPr>
          <w:rFonts w:cs="Times New Roman"/>
          <w:szCs w:val="24"/>
        </w:rPr>
        <w:t xml:space="preserve"> Unlike race or gender, certain business costs correlate directly with age.  </w:t>
      </w:r>
    </w:p>
    <w:p w14:paraId="0A0B52D9" w14:textId="77777777" w:rsidR="00771D87" w:rsidRPr="006A4CD7" w:rsidRDefault="00771D87" w:rsidP="00771D87">
      <w:pPr>
        <w:autoSpaceDE w:val="0"/>
        <w:autoSpaceDN w:val="0"/>
        <w:adjustRightInd w:val="0"/>
        <w:rPr>
          <w:rFonts w:cs="Times New Roman"/>
          <w:szCs w:val="24"/>
        </w:rPr>
      </w:pPr>
      <w:r w:rsidRPr="006A4CD7">
        <w:rPr>
          <w:rFonts w:cs="Times New Roman"/>
          <w:szCs w:val="24"/>
        </w:rPr>
        <w:t xml:space="preserve">Thus, the ADEA permits an affirmative defense for certain actions related to the cost of </w:t>
      </w:r>
      <w:proofErr w:type="spellStart"/>
      <w:r w:rsidRPr="006A4CD7">
        <w:rPr>
          <w:rFonts w:cs="Times New Roman"/>
          <w:szCs w:val="24"/>
        </w:rPr>
        <w:t>noncompensation</w:t>
      </w:r>
      <w:proofErr w:type="spellEnd"/>
      <w:r w:rsidRPr="006A4CD7">
        <w:rPr>
          <w:rFonts w:cs="Times New Roman"/>
          <w:szCs w:val="24"/>
        </w:rPr>
        <w:t xml:space="preserve"> employment benefits.  29 U.S.C. § 623(f)(2)(B).  </w:t>
      </w:r>
      <w:r w:rsidRPr="006A4CD7">
        <w:rPr>
          <w:rFonts w:cs="Times New Roman"/>
          <w:i/>
          <w:iCs/>
          <w:szCs w:val="24"/>
        </w:rPr>
        <w:t>See</w:t>
      </w:r>
      <w:r w:rsidRPr="006A4CD7">
        <w:rPr>
          <w:rFonts w:cs="Times New Roman"/>
          <w:szCs w:val="24"/>
        </w:rPr>
        <w:t xml:space="preserve"> Instruction 11.10 (Age Discrimination—Defenses—Bona Fide Employee Benefit Plan).</w:t>
      </w:r>
    </w:p>
    <w:p w14:paraId="6F75F438" w14:textId="77777777" w:rsidR="00771D87" w:rsidRPr="006A4CD7" w:rsidRDefault="00771D87" w:rsidP="00771D87">
      <w:pPr>
        <w:autoSpaceDE w:val="0"/>
        <w:autoSpaceDN w:val="0"/>
        <w:adjustRightInd w:val="0"/>
        <w:rPr>
          <w:rFonts w:cs="Times New Roman"/>
          <w:szCs w:val="24"/>
        </w:rPr>
      </w:pPr>
    </w:p>
    <w:p w14:paraId="1B26FAB0" w14:textId="77777777" w:rsidR="00771D87" w:rsidRPr="006A4CD7" w:rsidRDefault="00771D87" w:rsidP="00771D87">
      <w:pPr>
        <w:autoSpaceDE w:val="0"/>
        <w:autoSpaceDN w:val="0"/>
        <w:adjustRightInd w:val="0"/>
        <w:rPr>
          <w:rFonts w:cs="Times New Roman"/>
          <w:szCs w:val="24"/>
        </w:rPr>
      </w:pPr>
      <w:r w:rsidRPr="006A4CD7">
        <w:rPr>
          <w:rFonts w:cs="Times New Roman"/>
          <w:szCs w:val="24"/>
        </w:rPr>
        <w:tab/>
        <w:t xml:space="preserve">The ADEA’s bona fide seniority system defense imposes the additional requirement, not found in the Title VII context, that the seniority system may not “require or permit . . . involuntary retirement[.]” 29 U.S.C. § 623(f)(2)(A).  </w:t>
      </w:r>
      <w:r w:rsidRPr="006A4CD7">
        <w:rPr>
          <w:rFonts w:cs="Times New Roman"/>
          <w:i/>
          <w:iCs/>
          <w:szCs w:val="24"/>
        </w:rPr>
        <w:t>See</w:t>
      </w:r>
      <w:r w:rsidRPr="006A4CD7">
        <w:rPr>
          <w:rFonts w:cs="Times New Roman"/>
          <w:szCs w:val="24"/>
        </w:rPr>
        <w:t xml:space="preserve"> Instruction 11.8 (Age Discrimination—Defenses—Bona Fide Seniority System).</w:t>
      </w:r>
    </w:p>
    <w:p w14:paraId="416BEC9B" w14:textId="77777777" w:rsidR="00771D87" w:rsidRPr="006A4CD7" w:rsidRDefault="00771D87" w:rsidP="00771D87">
      <w:pPr>
        <w:autoSpaceDE w:val="0"/>
        <w:autoSpaceDN w:val="0"/>
        <w:adjustRightInd w:val="0"/>
        <w:rPr>
          <w:rFonts w:cs="Times New Roman"/>
          <w:szCs w:val="24"/>
        </w:rPr>
      </w:pPr>
    </w:p>
    <w:p w14:paraId="6460D8C3" w14:textId="77777777" w:rsidR="00771D87" w:rsidRDefault="00771D87" w:rsidP="00771D87">
      <w:pPr>
        <w:autoSpaceDE w:val="0"/>
        <w:autoSpaceDN w:val="0"/>
        <w:adjustRightInd w:val="0"/>
        <w:rPr>
          <w:rFonts w:cs="Times New Roman"/>
          <w:szCs w:val="24"/>
        </w:rPr>
      </w:pPr>
      <w:r w:rsidRPr="006A4CD7">
        <w:rPr>
          <w:rFonts w:cs="Times New Roman"/>
          <w:szCs w:val="24"/>
        </w:rPr>
        <w:tab/>
        <w:t>Generally</w:t>
      </w:r>
      <w:r>
        <w:rPr>
          <w:rFonts w:cs="Times New Roman"/>
          <w:szCs w:val="24"/>
        </w:rPr>
        <w:t>,</w:t>
      </w:r>
      <w:r w:rsidRPr="006A4CD7">
        <w:rPr>
          <w:rFonts w:cs="Times New Roman"/>
          <w:szCs w:val="24"/>
        </w:rPr>
        <w:t xml:space="preserve"> in a disparate impact case, the ADEA provides a broad defense when the employer’s action is based on a reasonable factor other than age.  29 U.S.C. § 623(f)(1).  This is substantially broader than the “business necessity” defense afforded by Title VII.  </w:t>
      </w:r>
      <w:r w:rsidRPr="006A4CD7">
        <w:rPr>
          <w:rFonts w:cs="Times New Roman"/>
          <w:i/>
          <w:iCs/>
          <w:szCs w:val="24"/>
        </w:rPr>
        <w:t>See Smith</w:t>
      </w:r>
      <w:r w:rsidRPr="006A4CD7">
        <w:rPr>
          <w:rFonts w:cs="Times New Roman"/>
          <w:szCs w:val="24"/>
        </w:rPr>
        <w:t xml:space="preserve">, 544 U.S. at 243 (“Unlike the business necessity test, which asks whether there are other ways for the employer to achieve its goals that do not result in a disparate impact on a protected class, the [reasonable factor other than age] inquiry includes no such requirement.”  </w:t>
      </w:r>
      <w:r w:rsidRPr="006A4CD7">
        <w:rPr>
          <w:rFonts w:cs="Times New Roman"/>
          <w:i/>
          <w:iCs/>
          <w:szCs w:val="24"/>
        </w:rPr>
        <w:t>See</w:t>
      </w:r>
      <w:r w:rsidRPr="006A4CD7">
        <w:rPr>
          <w:rFonts w:cs="Times New Roman"/>
          <w:szCs w:val="24"/>
        </w:rPr>
        <w:t xml:space="preserve"> Instruction 11.11 (Age Discrimination—Defenses—Reasonable Factor Other than Age).</w:t>
      </w:r>
    </w:p>
    <w:p w14:paraId="75BED9C9" w14:textId="77777777" w:rsidR="006D1B9A" w:rsidRDefault="006D1B9A" w:rsidP="00771D87">
      <w:pPr>
        <w:autoSpaceDE w:val="0"/>
        <w:autoSpaceDN w:val="0"/>
        <w:adjustRightInd w:val="0"/>
        <w:rPr>
          <w:rFonts w:cs="Times New Roman"/>
          <w:szCs w:val="24"/>
        </w:rPr>
      </w:pPr>
    </w:p>
    <w:p w14:paraId="10EDADE8" w14:textId="350A3983" w:rsidR="006D1B9A" w:rsidRPr="00E00420" w:rsidRDefault="006D1B9A" w:rsidP="006D1B9A">
      <w:pPr>
        <w:autoSpaceDE w:val="0"/>
        <w:autoSpaceDN w:val="0"/>
        <w:adjustRightInd w:val="0"/>
        <w:ind w:firstLine="720"/>
        <w:rPr>
          <w:rFonts w:cs="Times New Roman"/>
          <w:szCs w:val="24"/>
        </w:rPr>
      </w:pPr>
      <w:r w:rsidRPr="00E00420">
        <w:rPr>
          <w:rFonts w:cs="Times New Roman"/>
          <w:szCs w:val="24"/>
        </w:rPr>
        <w:t xml:space="preserve">The First Amendment’s religion clauses give rise to an affirmative defense that “bar[s] the government from interfering with the decision of a religious group to fire one of its ministers.” </w:t>
      </w:r>
      <w:r w:rsidRPr="00E00420">
        <w:rPr>
          <w:rFonts w:cs="Times New Roman"/>
          <w:i/>
          <w:iCs/>
          <w:szCs w:val="24"/>
        </w:rPr>
        <w:t>Hosanna-Tabor Evangelical Lutheran Church &amp; Sch. v. EEOC</w:t>
      </w:r>
      <w:r w:rsidRPr="00E00420">
        <w:rPr>
          <w:rFonts w:cs="Times New Roman"/>
          <w:szCs w:val="24"/>
        </w:rPr>
        <w:t xml:space="preserve">, 565 U.S. 171, 181, 195 n.4 (2012) (applying this defense to an ADA retaliation claim); </w:t>
      </w:r>
      <w:r w:rsidRPr="00E00420">
        <w:rPr>
          <w:rFonts w:cs="Times New Roman"/>
          <w:i/>
          <w:iCs/>
          <w:szCs w:val="24"/>
        </w:rPr>
        <w:t>see also Our Lady of Guadalupe Sch. v. Morrissey-Berru</w:t>
      </w:r>
      <w:r w:rsidRPr="00E00420">
        <w:rPr>
          <w:rFonts w:cs="Times New Roman"/>
          <w:szCs w:val="24"/>
        </w:rPr>
        <w:t xml:space="preserve">, 591 U.S. 732, 738, 756 (2020) (foreclosing discrimination </w:t>
      </w:r>
      <w:r w:rsidRPr="00E00420">
        <w:rPr>
          <w:rFonts w:cs="Times New Roman"/>
          <w:szCs w:val="24"/>
        </w:rPr>
        <w:lastRenderedPageBreak/>
        <w:t>claims by employees of religious organizations under the Age Discrimination in Employment Act and ADA).</w:t>
      </w:r>
    </w:p>
    <w:p w14:paraId="7268A49A" w14:textId="77777777" w:rsidR="00771D87" w:rsidRPr="006A4CD7" w:rsidRDefault="00771D87" w:rsidP="00771D87">
      <w:pPr>
        <w:autoSpaceDE w:val="0"/>
        <w:autoSpaceDN w:val="0"/>
        <w:adjustRightInd w:val="0"/>
        <w:rPr>
          <w:rFonts w:cs="Times New Roman"/>
          <w:szCs w:val="24"/>
        </w:rPr>
      </w:pPr>
    </w:p>
    <w:p w14:paraId="337F9A23" w14:textId="77777777" w:rsidR="00771D87" w:rsidRPr="006A4CD7" w:rsidRDefault="00771D87" w:rsidP="00771D87">
      <w:pPr>
        <w:autoSpaceDE w:val="0"/>
        <w:autoSpaceDN w:val="0"/>
        <w:adjustRightInd w:val="0"/>
        <w:rPr>
          <w:rFonts w:cs="Times New Roman"/>
          <w:szCs w:val="24"/>
        </w:rPr>
      </w:pPr>
      <w:r w:rsidRPr="006A4CD7">
        <w:rPr>
          <w:rFonts w:cs="Times New Roman"/>
          <w:b/>
          <w:bCs/>
          <w:szCs w:val="24"/>
        </w:rPr>
        <w:tab/>
      </w:r>
      <w:r w:rsidRPr="006A4CD7">
        <w:rPr>
          <w:rFonts w:cs="Times New Roman"/>
          <w:b/>
          <w:bCs/>
          <w:szCs w:val="24"/>
          <w:u w:val="single"/>
        </w:rPr>
        <w:t>Remedies</w:t>
      </w:r>
      <w:r w:rsidRPr="006A4CD7">
        <w:rPr>
          <w:rFonts w:cs="Times New Roman"/>
          <w:szCs w:val="24"/>
        </w:rPr>
        <w:t xml:space="preserve">: The remedies provision in the ADEA is borrowed from a wholly different body of law—the Fair Labor Standards Act (FLSA).  </w:t>
      </w:r>
      <w:r w:rsidRPr="006A4CD7">
        <w:rPr>
          <w:rFonts w:cs="Times New Roman"/>
          <w:i/>
          <w:iCs/>
          <w:szCs w:val="24"/>
        </w:rPr>
        <w:t>See Lorillard v. Pons</w:t>
      </w:r>
      <w:r w:rsidRPr="006A4CD7">
        <w:rPr>
          <w:rFonts w:cs="Times New Roman"/>
          <w:szCs w:val="24"/>
        </w:rPr>
        <w:t xml:space="preserve">, 434 U.S. 575, 582 (1978) (“[Other than] those changes Congress expressly made, it intended to incorporate fully the remedies and procedures of the FLSA.”).  This creates substantial differences in damages instructions.  </w:t>
      </w:r>
      <w:r w:rsidRPr="006A4CD7">
        <w:rPr>
          <w:rFonts w:cs="Times New Roman"/>
          <w:i/>
          <w:iCs/>
          <w:szCs w:val="24"/>
        </w:rPr>
        <w:t>See</w:t>
      </w:r>
      <w:r w:rsidRPr="006A4CD7">
        <w:rPr>
          <w:rFonts w:cs="Times New Roman"/>
          <w:szCs w:val="24"/>
        </w:rPr>
        <w:t xml:space="preserve"> Comment to Instruction 11.13 (Age Discrimination—Damages—Back Pay—Mitigation).  Thus, the ADEA provides the FLSA’s remedies of back pay, liquidated damages and equitable relief.  </w:t>
      </w:r>
      <w:r w:rsidRPr="006A4CD7">
        <w:rPr>
          <w:rFonts w:cs="Times New Roman"/>
          <w:i/>
          <w:iCs/>
          <w:szCs w:val="24"/>
        </w:rPr>
        <w:t>See</w:t>
      </w:r>
      <w:r w:rsidRPr="006A4CD7">
        <w:rPr>
          <w:rFonts w:cs="Times New Roman"/>
          <w:szCs w:val="24"/>
        </w:rPr>
        <w:t xml:space="preserve"> 29 U.S.C. § 216.  Additionally, front pay may be awarded in lieu of reinstatement if the court finds that reinstatement is not a feasible remedy.  </w:t>
      </w:r>
      <w:r w:rsidRPr="006A4CD7">
        <w:rPr>
          <w:rFonts w:cs="Times New Roman"/>
          <w:i/>
          <w:iCs/>
          <w:szCs w:val="24"/>
        </w:rPr>
        <w:t>Cassino v. Reichhold Chems., Inc.</w:t>
      </w:r>
      <w:r w:rsidRPr="006A4CD7">
        <w:rPr>
          <w:rFonts w:cs="Times New Roman"/>
          <w:szCs w:val="24"/>
        </w:rPr>
        <w:t>, 817 F.2d 1338, 1347 (9th Cir. 1987) (ADEA case).</w:t>
      </w:r>
    </w:p>
    <w:p w14:paraId="414903A9" w14:textId="77777777" w:rsidR="00771D87" w:rsidRPr="006A4CD7" w:rsidRDefault="00771D87" w:rsidP="00771D87">
      <w:pPr>
        <w:autoSpaceDE w:val="0"/>
        <w:autoSpaceDN w:val="0"/>
        <w:adjustRightInd w:val="0"/>
        <w:rPr>
          <w:rFonts w:cs="Times New Roman"/>
          <w:szCs w:val="24"/>
        </w:rPr>
      </w:pPr>
    </w:p>
    <w:p w14:paraId="291E4728" w14:textId="77777777" w:rsidR="00771D87" w:rsidRPr="00B22EA2" w:rsidRDefault="00771D87" w:rsidP="00771D87">
      <w:pPr>
        <w:adjustRightInd w:val="0"/>
      </w:pPr>
      <w:r w:rsidRPr="006A4CD7">
        <w:rPr>
          <w:rFonts w:cs="Times New Roman"/>
          <w:szCs w:val="24"/>
        </w:rPr>
        <w:tab/>
        <w:t xml:space="preserve">The ADEA does not provide for nonwage compensatory damages, such as damages for emotional distress, or for punitive damages.  </w:t>
      </w:r>
      <w:r w:rsidRPr="006A4CD7">
        <w:rPr>
          <w:rFonts w:cs="Times New Roman"/>
          <w:i/>
          <w:iCs/>
          <w:szCs w:val="24"/>
        </w:rPr>
        <w:t xml:space="preserve">See </w:t>
      </w:r>
      <w:bookmarkStart w:id="2" w:name="11.1_Age_Discrimination—Disparate_Treatm"/>
      <w:bookmarkEnd w:id="2"/>
      <w:proofErr w:type="spellStart"/>
      <w:r w:rsidRPr="00B22EA2">
        <w:rPr>
          <w:i/>
          <w:iCs/>
        </w:rPr>
        <w:t>Ahlmeyer</w:t>
      </w:r>
      <w:proofErr w:type="spellEnd"/>
      <w:r w:rsidRPr="00B22EA2">
        <w:t>, 555</w:t>
      </w:r>
      <w:r>
        <w:t xml:space="preserve"> </w:t>
      </w:r>
      <w:r w:rsidRPr="00B22EA2">
        <w:rPr>
          <w:rFonts w:cs="Times New Roman"/>
          <w:szCs w:val="24"/>
        </w:rPr>
        <w:t xml:space="preserve">F.3d </w:t>
      </w:r>
      <w:r>
        <w:rPr>
          <w:rFonts w:cs="Times New Roman"/>
          <w:szCs w:val="24"/>
        </w:rPr>
        <w:t xml:space="preserve">at </w:t>
      </w:r>
      <w:r w:rsidRPr="00B22EA2">
        <w:rPr>
          <w:rFonts w:cs="Times New Roman"/>
          <w:szCs w:val="24"/>
        </w:rPr>
        <w:t>1059 (9th Cir. 2009) (“Compensatory damages for pain and suffering and punitive</w:t>
      </w:r>
      <w:r>
        <w:t xml:space="preserve"> </w:t>
      </w:r>
      <w:r w:rsidRPr="00B22EA2">
        <w:rPr>
          <w:rFonts w:cs="Times New Roman"/>
          <w:szCs w:val="24"/>
        </w:rPr>
        <w:t>damages are not available under the ADEA . . . .”);</w:t>
      </w:r>
      <w:r>
        <w:rPr>
          <w:rFonts w:cs="Times New Roman"/>
          <w:szCs w:val="24"/>
        </w:rPr>
        <w:t xml:space="preserve"> </w:t>
      </w:r>
      <w:proofErr w:type="spellStart"/>
      <w:r w:rsidRPr="006A4CD7">
        <w:rPr>
          <w:rFonts w:cs="Times New Roman"/>
          <w:i/>
          <w:iCs/>
          <w:szCs w:val="24"/>
        </w:rPr>
        <w:t>Cancellier</w:t>
      </w:r>
      <w:proofErr w:type="spellEnd"/>
      <w:r w:rsidRPr="006A4CD7">
        <w:rPr>
          <w:rFonts w:cs="Times New Roman"/>
          <w:i/>
          <w:iCs/>
          <w:szCs w:val="24"/>
        </w:rPr>
        <w:t xml:space="preserve"> v. Federated Dept. Stores</w:t>
      </w:r>
      <w:r w:rsidRPr="006A4CD7">
        <w:rPr>
          <w:rFonts w:cs="Times New Roman"/>
          <w:szCs w:val="24"/>
        </w:rPr>
        <w:t xml:space="preserve">, 672 F.2d 1312, 1317 (9th Cir. 1982) (noting punitive damages not available); </w:t>
      </w:r>
      <w:r w:rsidRPr="006A4CD7">
        <w:rPr>
          <w:rFonts w:cs="Times New Roman"/>
          <w:i/>
          <w:iCs/>
          <w:szCs w:val="24"/>
        </w:rPr>
        <w:t>Naton v. Bank of Cal.</w:t>
      </w:r>
      <w:r w:rsidRPr="006A4CD7">
        <w:rPr>
          <w:rFonts w:cs="Times New Roman"/>
          <w:szCs w:val="24"/>
        </w:rPr>
        <w:t xml:space="preserve">, 649 F.2d 691, 698 (9th Cir. 1981) (noting nonwage compensatory damages not available); </w:t>
      </w:r>
      <w:r w:rsidRPr="006A4CD7">
        <w:rPr>
          <w:rFonts w:cs="Times New Roman"/>
          <w:i/>
          <w:iCs/>
          <w:szCs w:val="24"/>
        </w:rPr>
        <w:t xml:space="preserve">compare </w:t>
      </w:r>
      <w:r w:rsidRPr="006A4CD7">
        <w:rPr>
          <w:rFonts w:cs="Times New Roman"/>
          <w:szCs w:val="24"/>
        </w:rPr>
        <w:t xml:space="preserve">42 U.S.C. § 1981a(a)(1) (permitting recovery of compensatory and punitive damages under Title VII).  </w:t>
      </w:r>
      <w:r w:rsidRPr="006A4CD7">
        <w:rPr>
          <w:rFonts w:cs="Times New Roman"/>
          <w:i/>
          <w:iCs/>
          <w:szCs w:val="24"/>
        </w:rPr>
        <w:t>See</w:t>
      </w:r>
      <w:r w:rsidRPr="006A4CD7">
        <w:rPr>
          <w:rFonts w:cs="Times New Roman"/>
          <w:szCs w:val="24"/>
        </w:rPr>
        <w:t xml:space="preserve"> Instructions 11.13 (Age Discrimination—Damages—Back Pay—Mitigation), and 11.14 (Age Discrimination—Damages—Willful Discrimination—Liquidated Damages).</w:t>
      </w:r>
    </w:p>
    <w:p w14:paraId="099C9E6E" w14:textId="77777777" w:rsidR="00771D87" w:rsidRPr="006A4CD7" w:rsidRDefault="00771D87" w:rsidP="00771D87">
      <w:pPr>
        <w:autoSpaceDE w:val="0"/>
        <w:autoSpaceDN w:val="0"/>
        <w:adjustRightInd w:val="0"/>
        <w:rPr>
          <w:rFonts w:cs="Times New Roman"/>
          <w:szCs w:val="24"/>
        </w:rPr>
      </w:pPr>
    </w:p>
    <w:p w14:paraId="58768DB8" w14:textId="26D4907A" w:rsidR="00771D87" w:rsidRPr="006A4CD7" w:rsidRDefault="00771D87" w:rsidP="00771D87">
      <w:pPr>
        <w:autoSpaceDE w:val="0"/>
        <w:autoSpaceDN w:val="0"/>
        <w:adjustRightInd w:val="0"/>
        <w:rPr>
          <w:rFonts w:cs="Times New Roman"/>
          <w:szCs w:val="24"/>
        </w:rPr>
      </w:pPr>
      <w:r w:rsidRPr="006A4CD7">
        <w:rPr>
          <w:rFonts w:cs="Times New Roman"/>
          <w:szCs w:val="24"/>
        </w:rPr>
        <w:tab/>
        <w:t>Because the ADEA’s remedies</w:t>
      </w:r>
      <w:r w:rsidR="005B7B08">
        <w:rPr>
          <w:rFonts w:cs="Times New Roman"/>
          <w:szCs w:val="24"/>
        </w:rPr>
        <w:t>’</w:t>
      </w:r>
      <w:r w:rsidRPr="006A4CD7">
        <w:rPr>
          <w:rFonts w:cs="Times New Roman"/>
          <w:szCs w:val="24"/>
        </w:rPr>
        <w:t xml:space="preserve"> analog is the FLSA, not Title VII, the ADEA provides for a jury trial on the issue of back pay.  </w:t>
      </w:r>
      <w:r w:rsidRPr="006A4CD7">
        <w:rPr>
          <w:rFonts w:cs="Times New Roman"/>
          <w:i/>
          <w:iCs/>
          <w:szCs w:val="24"/>
        </w:rPr>
        <w:t>See</w:t>
      </w:r>
      <w:r w:rsidRPr="006A4CD7">
        <w:rPr>
          <w:rFonts w:cs="Times New Roman"/>
          <w:szCs w:val="24"/>
        </w:rPr>
        <w:t xml:space="preserve"> </w:t>
      </w:r>
      <w:r w:rsidRPr="006A4CD7">
        <w:rPr>
          <w:rFonts w:cs="Times New Roman"/>
          <w:i/>
          <w:iCs/>
          <w:szCs w:val="24"/>
        </w:rPr>
        <w:t>Lorillard</w:t>
      </w:r>
      <w:r w:rsidRPr="006A4CD7">
        <w:rPr>
          <w:rFonts w:cs="Times New Roman"/>
          <w:szCs w:val="24"/>
        </w:rPr>
        <w:t xml:space="preserve">, 434 U.S. at 582-84; </w:t>
      </w:r>
      <w:r w:rsidRPr="006A4CD7">
        <w:rPr>
          <w:rFonts w:cs="Times New Roman"/>
          <w:i/>
          <w:iCs/>
          <w:szCs w:val="24"/>
        </w:rPr>
        <w:t>compare</w:t>
      </w:r>
      <w:r w:rsidRPr="006A4CD7">
        <w:rPr>
          <w:rFonts w:cs="Times New Roman"/>
          <w:szCs w:val="24"/>
        </w:rPr>
        <w:t xml:space="preserve"> </w:t>
      </w:r>
      <w:r w:rsidRPr="006A4CD7">
        <w:rPr>
          <w:rFonts w:cs="Times New Roman"/>
          <w:i/>
          <w:iCs/>
          <w:szCs w:val="24"/>
        </w:rPr>
        <w:t>Lutz v. Glendale Union High Sch.</w:t>
      </w:r>
      <w:r w:rsidRPr="006A4CD7">
        <w:rPr>
          <w:rFonts w:cs="Times New Roman"/>
          <w:szCs w:val="24"/>
        </w:rPr>
        <w:t xml:space="preserve">, 403 F.3d 1061, 1067-68 (9th Cir. 2005) (holding plaintiff not entitled to jury determination of Title VII back pay award).  </w:t>
      </w:r>
      <w:r w:rsidR="005B7B08">
        <w:rPr>
          <w:rFonts w:cs="Times New Roman"/>
          <w:szCs w:val="24"/>
        </w:rPr>
        <w:t>T</w:t>
      </w:r>
      <w:r w:rsidRPr="006A4CD7">
        <w:rPr>
          <w:rFonts w:cs="Times New Roman"/>
          <w:szCs w:val="24"/>
        </w:rPr>
        <w:t xml:space="preserve">he question of front pay is an issue for </w:t>
      </w:r>
      <w:r w:rsidR="005B7B08">
        <w:rPr>
          <w:rFonts w:cs="Times New Roman"/>
          <w:szCs w:val="24"/>
        </w:rPr>
        <w:t xml:space="preserve">either </w:t>
      </w:r>
      <w:r w:rsidRPr="006A4CD7">
        <w:rPr>
          <w:rFonts w:cs="Times New Roman"/>
          <w:szCs w:val="24"/>
        </w:rPr>
        <w:t>the court or the jury</w:t>
      </w:r>
      <w:r w:rsidR="005B7B08">
        <w:rPr>
          <w:rFonts w:cs="Times New Roman"/>
          <w:szCs w:val="24"/>
        </w:rPr>
        <w:t xml:space="preserve">. </w:t>
      </w:r>
      <w:r w:rsidR="005B7B08">
        <w:rPr>
          <w:rFonts w:cs="Times New Roman"/>
          <w:i/>
          <w:iCs/>
          <w:szCs w:val="24"/>
        </w:rPr>
        <w:t>S</w:t>
      </w:r>
      <w:r w:rsidRPr="006A4CD7">
        <w:rPr>
          <w:rFonts w:cs="Times New Roman"/>
          <w:i/>
          <w:iCs/>
          <w:szCs w:val="24"/>
        </w:rPr>
        <w:t>ee Traxler v. Multnomah County</w:t>
      </w:r>
      <w:r w:rsidRPr="006A4CD7">
        <w:rPr>
          <w:rFonts w:cs="Times New Roman"/>
          <w:szCs w:val="24"/>
        </w:rPr>
        <w:t>, 596 F.3d 1007, 1009-14 (9th Cir. 2010)</w:t>
      </w:r>
      <w:r w:rsidR="005B7B08">
        <w:rPr>
          <w:rFonts w:cs="Times New Roman"/>
          <w:szCs w:val="24"/>
        </w:rPr>
        <w:t xml:space="preserve">; </w:t>
      </w:r>
      <w:r w:rsidR="005B7B08" w:rsidRPr="005B7B08">
        <w:rPr>
          <w:rFonts w:cs="Times New Roman"/>
          <w:i/>
          <w:iCs/>
          <w:szCs w:val="24"/>
        </w:rPr>
        <w:t>see also</w:t>
      </w:r>
      <w:r w:rsidR="00EB7CCE">
        <w:rPr>
          <w:rFonts w:cs="Times New Roman"/>
          <w:i/>
          <w:iCs/>
          <w:szCs w:val="24"/>
        </w:rPr>
        <w:t xml:space="preserve"> </w:t>
      </w:r>
      <w:r w:rsidRPr="006A4CD7">
        <w:rPr>
          <w:rFonts w:cs="Times New Roman"/>
          <w:i/>
          <w:iCs/>
          <w:szCs w:val="24"/>
        </w:rPr>
        <w:t>Cassino</w:t>
      </w:r>
      <w:r w:rsidRPr="006A4CD7">
        <w:rPr>
          <w:rFonts w:cs="Times New Roman"/>
          <w:szCs w:val="24"/>
        </w:rPr>
        <w:t>, 817 F.2d at 1346-48 (9th Cir. 1987).</w:t>
      </w:r>
    </w:p>
    <w:p w14:paraId="5727A8AE" w14:textId="77777777" w:rsidR="00771D87" w:rsidRPr="006A4CD7" w:rsidRDefault="00771D87" w:rsidP="00771D87">
      <w:pPr>
        <w:autoSpaceDE w:val="0"/>
        <w:autoSpaceDN w:val="0"/>
        <w:adjustRightInd w:val="0"/>
        <w:rPr>
          <w:rFonts w:cs="Times New Roman"/>
          <w:szCs w:val="24"/>
        </w:rPr>
      </w:pPr>
    </w:p>
    <w:p w14:paraId="277EF713" w14:textId="77777777" w:rsidR="00771D87" w:rsidRPr="006A4CD7" w:rsidRDefault="00771D87" w:rsidP="00771D87">
      <w:pPr>
        <w:autoSpaceDE w:val="0"/>
        <w:autoSpaceDN w:val="0"/>
        <w:adjustRightInd w:val="0"/>
        <w:rPr>
          <w:rFonts w:cs="Times New Roman"/>
          <w:szCs w:val="24"/>
        </w:rPr>
      </w:pPr>
    </w:p>
    <w:p w14:paraId="07ED80FA" w14:textId="3B9D911B" w:rsidR="00C30C2C" w:rsidRDefault="00771D87" w:rsidP="00771D87">
      <w:pPr>
        <w:jc w:val="right"/>
      </w:pPr>
      <w:r w:rsidRPr="006A4CD7">
        <w:rPr>
          <w:rFonts w:cs="Times New Roman"/>
          <w:i/>
          <w:iCs/>
          <w:szCs w:val="24"/>
        </w:rPr>
        <w:t xml:space="preserve">Revised </w:t>
      </w:r>
      <w:r w:rsidR="005B7B08">
        <w:rPr>
          <w:rFonts w:cs="Times New Roman"/>
          <w:i/>
          <w:iCs/>
          <w:szCs w:val="24"/>
        </w:rPr>
        <w:t xml:space="preserve">December </w:t>
      </w:r>
      <w:r w:rsidR="006D1B9A">
        <w:rPr>
          <w:rFonts w:cs="Times New Roman"/>
          <w:i/>
          <w:iCs/>
          <w:szCs w:val="24"/>
        </w:rPr>
        <w:t>2025</w:t>
      </w:r>
    </w:p>
    <w:sectPr w:rsidR="00C30C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D87"/>
    <w:rsid w:val="001F1832"/>
    <w:rsid w:val="00235FFF"/>
    <w:rsid w:val="0057449A"/>
    <w:rsid w:val="005B7B08"/>
    <w:rsid w:val="00695F6A"/>
    <w:rsid w:val="006D1B9A"/>
    <w:rsid w:val="006D3AA0"/>
    <w:rsid w:val="006E771A"/>
    <w:rsid w:val="0070764F"/>
    <w:rsid w:val="00771D87"/>
    <w:rsid w:val="0092607C"/>
    <w:rsid w:val="00BC67C9"/>
    <w:rsid w:val="00BE0F07"/>
    <w:rsid w:val="00C30C2C"/>
    <w:rsid w:val="00DB7C92"/>
    <w:rsid w:val="00DE3AA1"/>
    <w:rsid w:val="00E00420"/>
    <w:rsid w:val="00EB3BF7"/>
    <w:rsid w:val="00EB7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E57AA"/>
  <w15:chartTrackingRefBased/>
  <w15:docId w15:val="{CFDAEC9A-52BC-408B-8A0B-D08762AF4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D87"/>
    <w:rPr>
      <w:rFonts w:cstheme="minorBidi"/>
      <w:kern w:val="0"/>
      <w:sz w:val="24"/>
      <w:szCs w:val="22"/>
      <w14:ligatures w14:val="none"/>
    </w:rPr>
  </w:style>
  <w:style w:type="paragraph" w:styleId="Heading1">
    <w:name w:val="heading 1"/>
    <w:aliases w:val="Heading"/>
    <w:basedOn w:val="Normal"/>
    <w:next w:val="Normal"/>
    <w:link w:val="Heading1Char"/>
    <w:uiPriority w:val="9"/>
    <w:qFormat/>
    <w:rsid w:val="006E771A"/>
    <w:pPr>
      <w:keepNext/>
      <w:keepLines/>
      <w:spacing w:before="240" w:line="259" w:lineRule="auto"/>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771D87"/>
    <w:pPr>
      <w:autoSpaceDE w:val="0"/>
      <w:autoSpaceDN w:val="0"/>
      <w:adjustRightInd w:val="0"/>
      <w:jc w:val="center"/>
      <w:outlineLvl w:val="1"/>
    </w:pPr>
    <w:rPr>
      <w:rFonts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6E771A"/>
    <w:rPr>
      <w:rFonts w:eastAsiaTheme="majorEastAsia" w:cstheme="majorBidi"/>
      <w:b/>
      <w:color w:val="000000" w:themeColor="text1"/>
      <w:sz w:val="28"/>
      <w:szCs w:val="32"/>
    </w:rPr>
  </w:style>
  <w:style w:type="character" w:customStyle="1" w:styleId="Heading2Char">
    <w:name w:val="Heading 2 Char"/>
    <w:basedOn w:val="DefaultParagraphFont"/>
    <w:link w:val="Heading2"/>
    <w:uiPriority w:val="9"/>
    <w:rsid w:val="00771D87"/>
    <w:rPr>
      <w:b/>
      <w:bCs/>
      <w:kern w:val="0"/>
      <w:sz w:val="24"/>
      <w:szCs w:val="24"/>
      <w14:ligatures w14:val="none"/>
    </w:rPr>
  </w:style>
  <w:style w:type="paragraph" w:styleId="Revision">
    <w:name w:val="Revision"/>
    <w:hidden/>
    <w:uiPriority w:val="99"/>
    <w:semiHidden/>
    <w:rsid w:val="006D1B9A"/>
    <w:rPr>
      <w:rFonts w:cstheme="minorBidi"/>
      <w:kern w:val="0"/>
      <w:sz w:val="2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1362</Words>
  <Characters>7768</Characters>
  <Application>Microsoft Office Word</Application>
  <DocSecurity>0</DocSecurity>
  <Lines>64</Lines>
  <Paragraphs>18</Paragraphs>
  <ScaleCrop>false</ScaleCrop>
  <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Aejung Yoon</cp:lastModifiedBy>
  <cp:revision>6</cp:revision>
  <dcterms:created xsi:type="dcterms:W3CDTF">2024-08-07T19:19:00Z</dcterms:created>
  <dcterms:modified xsi:type="dcterms:W3CDTF">2026-02-06T16:26:00Z</dcterms:modified>
</cp:coreProperties>
</file>