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164B" w14:textId="77777777" w:rsidR="00AF7A5C" w:rsidRPr="008B3794" w:rsidRDefault="00AF7A5C" w:rsidP="00AF7A5C">
      <w:pPr>
        <w:pStyle w:val="Heading2"/>
      </w:pPr>
      <w:bookmarkStart w:id="0" w:name="_Toc167357312"/>
      <w:r w:rsidRPr="008B3794">
        <w:t>11.4 Age Discrimination—Disparate Impact—Elements</w:t>
      </w:r>
      <w:bookmarkEnd w:id="0"/>
    </w:p>
    <w:p w14:paraId="43ADF457" w14:textId="77777777" w:rsidR="00AF7A5C" w:rsidRPr="008B3794" w:rsidRDefault="00AF7A5C" w:rsidP="00AF7A5C"/>
    <w:p w14:paraId="0B2F0893" w14:textId="77777777" w:rsidR="002D1685" w:rsidRPr="002B283E" w:rsidRDefault="00AF7A5C" w:rsidP="002D1685">
      <w:pPr>
        <w:rPr>
          <w:rFonts w:cs="Times New Roman"/>
          <w:szCs w:val="24"/>
        </w:rPr>
      </w:pPr>
      <w:r w:rsidRPr="008B3794">
        <w:tab/>
      </w:r>
      <w:r w:rsidR="002D1685" w:rsidRPr="002B283E">
        <w:rPr>
          <w:rFonts w:cs="Times New Roman"/>
          <w:szCs w:val="24"/>
        </w:rPr>
        <w:t xml:space="preserve">The plaintiff </w:t>
      </w:r>
      <w:r w:rsidR="002D1685" w:rsidRPr="005F6DAD">
        <w:rPr>
          <w:rFonts w:cs="Times New Roman"/>
          <w:szCs w:val="24"/>
        </w:rPr>
        <w:t>[</w:t>
      </w:r>
      <w:r w:rsidR="002D1685" w:rsidRPr="005F6DAD">
        <w:rPr>
          <w:rFonts w:cs="Times New Roman"/>
          <w:i/>
          <w:iCs/>
          <w:szCs w:val="24"/>
          <w:u w:val="single"/>
        </w:rPr>
        <w:t>name</w:t>
      </w:r>
      <w:r w:rsidR="002D1685" w:rsidRPr="005F6DAD">
        <w:rPr>
          <w:rFonts w:cs="Times New Roman"/>
          <w:szCs w:val="24"/>
        </w:rPr>
        <w:t>]</w:t>
      </w:r>
      <w:r w:rsidR="002D1685" w:rsidRPr="00E202F5">
        <w:t xml:space="preserve"> </w:t>
      </w:r>
      <w:r w:rsidR="002D1685" w:rsidRPr="002B283E">
        <w:rPr>
          <w:rFonts w:cs="Times New Roman"/>
          <w:szCs w:val="24"/>
        </w:rPr>
        <w:t xml:space="preserve">seeks damages based on age discrimination in violation of federal law. </w:t>
      </w:r>
      <w:r w:rsidR="002D1685">
        <w:rPr>
          <w:rFonts w:cs="Times New Roman"/>
          <w:szCs w:val="24"/>
        </w:rPr>
        <w:t>To</w:t>
      </w:r>
      <w:r w:rsidR="002D1685" w:rsidRPr="002B283E">
        <w:rPr>
          <w:rFonts w:cs="Times New Roman"/>
          <w:szCs w:val="24"/>
        </w:rPr>
        <w:t xml:space="preserve"> prevail on this claim, the plaintiff </w:t>
      </w:r>
      <w:r w:rsidR="002D1685" w:rsidRPr="005F6DAD">
        <w:rPr>
          <w:rFonts w:cs="Times New Roman"/>
          <w:szCs w:val="24"/>
        </w:rPr>
        <w:t>[</w:t>
      </w:r>
      <w:r w:rsidR="002D1685" w:rsidRPr="005F6DAD">
        <w:rPr>
          <w:rFonts w:cs="Times New Roman"/>
          <w:i/>
          <w:iCs/>
          <w:szCs w:val="24"/>
          <w:u w:val="single"/>
        </w:rPr>
        <w:t>name</w:t>
      </w:r>
      <w:r w:rsidR="002D1685" w:rsidRPr="005F6DAD">
        <w:rPr>
          <w:rFonts w:cs="Times New Roman"/>
          <w:szCs w:val="24"/>
        </w:rPr>
        <w:t>]</w:t>
      </w:r>
      <w:r w:rsidR="002D1685" w:rsidRPr="00E202F5">
        <w:t xml:space="preserve"> </w:t>
      </w:r>
      <w:r w:rsidR="002D1685" w:rsidRPr="002B283E">
        <w:rPr>
          <w:rFonts w:cs="Times New Roman"/>
          <w:szCs w:val="24"/>
        </w:rPr>
        <w:t>has the burden of proving each of the following elements by a preponderance of the evidence:</w:t>
      </w:r>
    </w:p>
    <w:p w14:paraId="26689C5C" w14:textId="77777777" w:rsidR="002D1685" w:rsidRPr="008B3794" w:rsidRDefault="002D1685" w:rsidP="002D1685"/>
    <w:p w14:paraId="16434EAA" w14:textId="77777777" w:rsidR="002D1685" w:rsidRPr="008B3794" w:rsidRDefault="002D1685" w:rsidP="002D1685">
      <w:pPr>
        <w:widowControl w:val="0"/>
        <w:ind w:firstLine="720"/>
      </w:pPr>
      <w:r w:rsidRPr="008B3794">
        <w:t xml:space="preserve">First,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 xml:space="preserve">was 40 years of age or older at the time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was [discharged] [not hired] [not promoted] [demoted] [</w:t>
      </w:r>
      <w:r w:rsidRPr="008A04C2">
        <w:rPr>
          <w:i/>
          <w:iCs/>
          <w:u w:val="single"/>
        </w:rPr>
        <w:t>state other adverse action</w:t>
      </w:r>
      <w:r w:rsidRPr="008B3794">
        <w:t xml:space="preserve">]; </w:t>
      </w:r>
    </w:p>
    <w:p w14:paraId="2F2D900C" w14:textId="77777777" w:rsidR="002D1685" w:rsidRPr="008B3794" w:rsidRDefault="002D1685" w:rsidP="002D1685">
      <w:pPr>
        <w:widowControl w:val="0"/>
        <w:ind w:firstLine="720"/>
      </w:pPr>
    </w:p>
    <w:p w14:paraId="01FBF05C" w14:textId="77777777" w:rsidR="002D1685" w:rsidRPr="008B3794" w:rsidRDefault="002D1685" w:rsidP="002D1685">
      <w:pPr>
        <w:widowControl w:val="0"/>
        <w:ind w:firstLine="720"/>
      </w:pPr>
      <w:r w:rsidRPr="008B3794">
        <w:t xml:space="preserve">Second,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 xml:space="preserve">used a specific [test] [requirement] [practice] [selection criterion] that had a significantly adverse or disproportionate impact on employees 40 years of age or older; and </w:t>
      </w:r>
    </w:p>
    <w:p w14:paraId="39409E4A" w14:textId="77777777" w:rsidR="002D1685" w:rsidRPr="008B3794" w:rsidRDefault="002D1685" w:rsidP="002D1685">
      <w:pPr>
        <w:widowControl w:val="0"/>
        <w:ind w:firstLine="720"/>
      </w:pPr>
    </w:p>
    <w:p w14:paraId="7F053E72" w14:textId="77777777" w:rsidR="002D1685" w:rsidRPr="008B3794" w:rsidRDefault="002D1685" w:rsidP="002D1685">
      <w:pPr>
        <w:widowControl w:val="0"/>
        <w:ind w:firstLine="720"/>
      </w:pPr>
      <w:r w:rsidRPr="008B3794">
        <w:t>Third, the defendant</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8B3794">
        <w:t xml:space="preserve">’s [test] [requirement] [practice] [selection criterion] resulted in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being [discharged] [not hired] [not promoted] [demoted] [</w:t>
      </w:r>
      <w:r w:rsidRPr="008B3794">
        <w:rPr>
          <w:i/>
          <w:iCs/>
          <w:u w:val="single"/>
        </w:rPr>
        <w:t>state other adverse action</w:t>
      </w:r>
      <w:r w:rsidRPr="008B3794">
        <w:t xml:space="preserve">]. </w:t>
      </w:r>
    </w:p>
    <w:p w14:paraId="073989CA" w14:textId="77777777" w:rsidR="002D1685" w:rsidRPr="008B3794" w:rsidRDefault="002D1685" w:rsidP="002D1685"/>
    <w:p w14:paraId="4567ACED" w14:textId="77777777" w:rsidR="002D1685" w:rsidRPr="008B3794" w:rsidRDefault="002D1685" w:rsidP="002D1685">
      <w:r w:rsidRPr="008B3794">
        <w:tab/>
        <w:t xml:space="preserve">If you find that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has proved all three of these elements, your verdict should be for the plaintiff</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8B3794">
        <w:t xml:space="preserve">.  If, on the other hand,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8B3794">
        <w:t>has failed to prove any of these elements, your verdict should be for the defendant</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8B3794">
        <w:t>.</w:t>
      </w:r>
    </w:p>
    <w:p w14:paraId="3561CFD3" w14:textId="77777777" w:rsidR="002D1685" w:rsidRPr="008B3794" w:rsidRDefault="002D1685" w:rsidP="002D1685"/>
    <w:p w14:paraId="046E8F53" w14:textId="77777777" w:rsidR="002D1685" w:rsidRPr="008B3794" w:rsidRDefault="002D1685" w:rsidP="002D1685">
      <w:pPr>
        <w:jc w:val="center"/>
        <w:rPr>
          <w:b/>
          <w:bCs/>
        </w:rPr>
      </w:pPr>
      <w:r w:rsidRPr="008B3794">
        <w:rPr>
          <w:b/>
          <w:bCs/>
        </w:rPr>
        <w:t>Comment</w:t>
      </w:r>
    </w:p>
    <w:p w14:paraId="207D0313" w14:textId="77777777" w:rsidR="002D1685" w:rsidRPr="008B3794" w:rsidRDefault="002D1685" w:rsidP="002D1685"/>
    <w:p w14:paraId="76EBB1E9" w14:textId="77777777" w:rsidR="002D1685" w:rsidRPr="008B3794" w:rsidRDefault="002D1685" w:rsidP="002D1685">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xml:space="preserve">, 544 U.S. 228, 232 (2005), the Supreme Court affirmed the availability of a disparate impact claim under the ADEA. For detailed discussions of </w:t>
      </w:r>
      <w:r w:rsidRPr="008B3794" w:rsidDel="00A47A01">
        <w:rPr>
          <w:strike/>
        </w:rPr>
        <w:t xml:space="preserve">a </w:t>
      </w:r>
      <w:r w:rsidRPr="008B3794">
        <w:t>disparate impact claims arising under the Fair Housing Act, see</w:t>
      </w:r>
      <w:r w:rsidRPr="008B3794">
        <w:rPr>
          <w:i/>
          <w:iCs/>
        </w:rPr>
        <w:t xml:space="preserve"> Texas Department of Housing and Community Affairs v. Inclusive Communities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4B1538D2" w14:textId="77777777" w:rsidR="002D1685" w:rsidRPr="008B3794" w:rsidRDefault="002D1685" w:rsidP="002D1685"/>
    <w:p w14:paraId="0831AFD4" w14:textId="77777777" w:rsidR="002D1685" w:rsidRPr="008B3794" w:rsidRDefault="002D1685" w:rsidP="002D1685">
      <w:r w:rsidRPr="008B3794">
        <w:tab/>
        <w:t xml:space="preserve">The first element states the age threshold necessary to fall within the ADEA.  </w:t>
      </w:r>
      <w:r w:rsidRPr="008B3794">
        <w:rPr>
          <w:i/>
          <w:iCs/>
        </w:rPr>
        <w:t>See</w:t>
      </w:r>
      <w:r w:rsidRPr="008B3794">
        <w:t xml:space="preserve"> 29 U.S.C. § 631(a).</w:t>
      </w:r>
    </w:p>
    <w:p w14:paraId="7532FBD4" w14:textId="77777777" w:rsidR="002D1685" w:rsidRPr="008B3794" w:rsidRDefault="002D1685" w:rsidP="002D1685"/>
    <w:p w14:paraId="3FF3ED7A" w14:textId="77777777" w:rsidR="002D1685" w:rsidRPr="008B3794" w:rsidRDefault="002D1685" w:rsidP="002D1685">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at 240-41 (internal quotation omitted) (emphasis in original) (holding that heightened disparate </w:t>
      </w:r>
      <w:r w:rsidRPr="008B3794">
        <w:lastRenderedPageBreak/>
        <w:t xml:space="preserve">impact standard of </w:t>
      </w:r>
      <w:r w:rsidRPr="008B3794">
        <w:rPr>
          <w:i/>
          <w:iCs/>
        </w:rPr>
        <w:t>Wards Cove Packing Co. v. Atonio</w:t>
      </w:r>
      <w:r w:rsidRPr="008B3794">
        <w:t xml:space="preserve">,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w:t>
      </w:r>
      <w:r w:rsidRPr="008B3794">
        <w:rPr>
          <w:i/>
          <w:iCs/>
        </w:rPr>
        <w:t>Id</w:t>
      </w:r>
      <w:r w:rsidRPr="008B3794">
        <w:t xml:space="preserve">. at 241. </w:t>
      </w:r>
    </w:p>
    <w:p w14:paraId="0BEA25BC" w14:textId="77777777" w:rsidR="002D1685" w:rsidRPr="008B3794" w:rsidRDefault="002D1685" w:rsidP="002D1685"/>
    <w:p w14:paraId="30B64A8E" w14:textId="77777777" w:rsidR="002D1685" w:rsidRPr="008B3794" w:rsidRDefault="002D1685" w:rsidP="002D1685">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5C56F856" w14:textId="77777777" w:rsidR="002D1685" w:rsidRPr="008B3794" w:rsidRDefault="002D1685" w:rsidP="002D1685"/>
    <w:p w14:paraId="077AC31E" w14:textId="0F81D16A" w:rsidR="00AF7A5C" w:rsidRPr="008B3794" w:rsidRDefault="002D1685" w:rsidP="002D1685">
      <w:r w:rsidRPr="008B3794">
        <w:tab/>
        <w:t>When an affirmative defense is asserted, this instruction should be accompanied by the appropriate affirmative defense instruction.</w:t>
      </w:r>
    </w:p>
    <w:p w14:paraId="0B9C1764" w14:textId="77777777" w:rsidR="00AF7A5C" w:rsidRPr="008B3794" w:rsidRDefault="00AF7A5C" w:rsidP="00AF7A5C"/>
    <w:p w14:paraId="5CA79EC4" w14:textId="1B0E68A1" w:rsidR="00C30C2C" w:rsidRPr="008B3794" w:rsidRDefault="00AF7A5C" w:rsidP="00AF7A5C">
      <w:pPr>
        <w:jc w:val="right"/>
      </w:pPr>
      <w:r w:rsidRPr="008B3794">
        <w:rPr>
          <w:i/>
          <w:iCs/>
        </w:rPr>
        <w:t>Revised June</w:t>
      </w:r>
      <w:r w:rsidR="00053AB5" w:rsidRPr="008B3794">
        <w:rPr>
          <w:i/>
          <w:iCs/>
        </w:rPr>
        <w:t xml:space="preserve"> 2025</w:t>
      </w:r>
    </w:p>
    <w:sectPr w:rsidR="00C30C2C" w:rsidRPr="008B3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5C"/>
    <w:rsid w:val="00053AB5"/>
    <w:rsid w:val="000562A8"/>
    <w:rsid w:val="001F1832"/>
    <w:rsid w:val="00235FFF"/>
    <w:rsid w:val="002D1685"/>
    <w:rsid w:val="004922F2"/>
    <w:rsid w:val="004E010F"/>
    <w:rsid w:val="00695F6A"/>
    <w:rsid w:val="006E771A"/>
    <w:rsid w:val="006F0806"/>
    <w:rsid w:val="00826AE4"/>
    <w:rsid w:val="008B3794"/>
    <w:rsid w:val="00AF7A5C"/>
    <w:rsid w:val="00B96321"/>
    <w:rsid w:val="00BC67C9"/>
    <w:rsid w:val="00C30B63"/>
    <w:rsid w:val="00C30C2C"/>
    <w:rsid w:val="00D56588"/>
    <w:rsid w:val="00DB7C92"/>
    <w:rsid w:val="00EB3BF7"/>
    <w:rsid w:val="00FB4854"/>
    <w:rsid w:val="00FE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A788"/>
  <w15:chartTrackingRefBased/>
  <w15:docId w15:val="{952487F9-1F0C-4FA1-830E-071677B7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5C"/>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F7A5C"/>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AF7A5C"/>
    <w:rPr>
      <w:b/>
      <w:bCs/>
      <w:kern w:val="0"/>
      <w:sz w:val="24"/>
      <w:szCs w:val="24"/>
      <w14:ligatures w14:val="none"/>
    </w:rPr>
  </w:style>
  <w:style w:type="paragraph" w:styleId="Revision">
    <w:name w:val="Revision"/>
    <w:hidden/>
    <w:uiPriority w:val="99"/>
    <w:semiHidden/>
    <w:rsid w:val="00FE08AC"/>
    <w:rPr>
      <w:rFonts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8</cp:revision>
  <dcterms:created xsi:type="dcterms:W3CDTF">2024-08-07T19:20:00Z</dcterms:created>
  <dcterms:modified xsi:type="dcterms:W3CDTF">2025-10-14T23:20:00Z</dcterms:modified>
</cp:coreProperties>
</file>