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BE7B" w14:textId="77777777" w:rsidR="00BF32E5" w:rsidRPr="00BF32E5" w:rsidRDefault="00BF32E5" w:rsidP="00BF32E5">
      <w:pPr>
        <w:autoSpaceDE w:val="0"/>
        <w:autoSpaceDN w:val="0"/>
        <w:adjustRightInd w:val="0"/>
        <w:spacing w:after="0" w:line="240" w:lineRule="auto"/>
        <w:jc w:val="center"/>
        <w:rPr>
          <w:rFonts w:ascii="Times New Roman" w:hAnsi="Times New Roman" w:cs="Times New Roman"/>
          <w:b/>
          <w:bCs/>
          <w:sz w:val="24"/>
          <w:szCs w:val="24"/>
        </w:rPr>
      </w:pPr>
      <w:r w:rsidRPr="00BF32E5">
        <w:rPr>
          <w:rFonts w:ascii="Times New Roman" w:hAnsi="Times New Roman" w:cs="Times New Roman"/>
          <w:sz w:val="24"/>
          <w:szCs w:val="24"/>
          <w:lang w:val="en-CA"/>
        </w:rPr>
        <w:fldChar w:fldCharType="begin"/>
      </w:r>
      <w:r w:rsidRPr="00BF32E5">
        <w:rPr>
          <w:rFonts w:ascii="Times New Roman" w:hAnsi="Times New Roman" w:cs="Times New Roman"/>
          <w:sz w:val="24"/>
          <w:szCs w:val="24"/>
          <w:lang w:val="en-CA"/>
        </w:rPr>
        <w:instrText xml:space="preserve"> SEQ CHAPTER \h \r 1</w:instrText>
      </w:r>
      <w:r w:rsidRPr="00BF32E5">
        <w:rPr>
          <w:rFonts w:ascii="Times New Roman" w:hAnsi="Times New Roman" w:cs="Times New Roman"/>
          <w:sz w:val="24"/>
          <w:szCs w:val="24"/>
          <w:lang w:val="en-CA"/>
        </w:rPr>
        <w:fldChar w:fldCharType="end"/>
      </w:r>
      <w:r w:rsidRPr="00BF32E5">
        <w:rPr>
          <w:rFonts w:ascii="Times New Roman" w:hAnsi="Times New Roman" w:cs="Times New Roman"/>
          <w:b/>
          <w:bCs/>
          <w:sz w:val="24"/>
          <w:szCs w:val="24"/>
        </w:rPr>
        <w:t>12.  AMERICANS WITH DISABILITIES ACT</w:t>
      </w:r>
    </w:p>
    <w:p w14:paraId="20DF23D1" w14:textId="77777777" w:rsidR="00BF32E5" w:rsidRPr="00BF32E5" w:rsidRDefault="00BF32E5" w:rsidP="00BF32E5">
      <w:pPr>
        <w:autoSpaceDE w:val="0"/>
        <w:autoSpaceDN w:val="0"/>
        <w:adjustRightInd w:val="0"/>
        <w:spacing w:after="0" w:line="240" w:lineRule="auto"/>
        <w:rPr>
          <w:rFonts w:ascii="Times New Roman" w:hAnsi="Times New Roman" w:cs="Times New Roman"/>
          <w:sz w:val="24"/>
          <w:szCs w:val="24"/>
        </w:rPr>
      </w:pPr>
    </w:p>
    <w:p w14:paraId="2B6DC612" w14:textId="77777777" w:rsidR="00BF32E5" w:rsidRPr="00BF32E5" w:rsidRDefault="00BF32E5" w:rsidP="00BF32E5">
      <w:pPr>
        <w:autoSpaceDE w:val="0"/>
        <w:autoSpaceDN w:val="0"/>
        <w:adjustRightInd w:val="0"/>
        <w:spacing w:after="0" w:line="240" w:lineRule="auto"/>
        <w:rPr>
          <w:rFonts w:ascii="Times New Roman" w:hAnsi="Times New Roman" w:cs="Times New Roman"/>
          <w:sz w:val="24"/>
          <w:szCs w:val="24"/>
        </w:rPr>
      </w:pPr>
    </w:p>
    <w:p w14:paraId="2D545C69" w14:textId="77777777" w:rsidR="00BF32E5" w:rsidRPr="00BF32E5" w:rsidRDefault="00BF32E5" w:rsidP="00BF32E5">
      <w:pPr>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b/>
          <w:bCs/>
          <w:sz w:val="24"/>
          <w:szCs w:val="24"/>
        </w:rPr>
        <w:t>Instruction</w:t>
      </w:r>
    </w:p>
    <w:p w14:paraId="1869E0A5" w14:textId="77777777" w:rsidR="00BF32E5" w:rsidRPr="00BF32E5" w:rsidRDefault="00BF32E5" w:rsidP="00BF32E5">
      <w:pPr>
        <w:autoSpaceDE w:val="0"/>
        <w:autoSpaceDN w:val="0"/>
        <w:adjustRightInd w:val="0"/>
        <w:spacing w:after="0" w:line="240" w:lineRule="auto"/>
        <w:rPr>
          <w:rFonts w:ascii="Times New Roman" w:hAnsi="Times New Roman" w:cs="Times New Roman"/>
          <w:sz w:val="24"/>
          <w:szCs w:val="24"/>
        </w:rPr>
      </w:pPr>
    </w:p>
    <w:p w14:paraId="30DBCBC5" w14:textId="77777777" w:rsidR="00BF32E5" w:rsidRPr="00BF32E5" w:rsidRDefault="00BF32E5" w:rsidP="00BF32E5">
      <w:pPr>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Introductory Comment</w:t>
      </w:r>
    </w:p>
    <w:p w14:paraId="7B251663"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12.1A</w:t>
      </w:r>
      <w:r w:rsidRPr="00BF32E5">
        <w:rPr>
          <w:rFonts w:ascii="Times New Roman" w:hAnsi="Times New Roman" w:cs="Times New Roman"/>
          <w:sz w:val="24"/>
          <w:szCs w:val="24"/>
        </w:rPr>
        <w:tab/>
        <w:t>ADA Employment Actions—Actual Disability—Elements</w:t>
      </w:r>
    </w:p>
    <w:p w14:paraId="58D8BB4A"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12.1B</w:t>
      </w:r>
      <w:r w:rsidRPr="00BF32E5">
        <w:rPr>
          <w:rFonts w:ascii="Times New Roman" w:hAnsi="Times New Roman" w:cs="Times New Roman"/>
          <w:sz w:val="24"/>
          <w:szCs w:val="24"/>
        </w:rPr>
        <w:tab/>
        <w:t>ADA Employment Actions—Record of Disability—Elements</w:t>
      </w:r>
    </w:p>
    <w:p w14:paraId="0D95F24F"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12.1C</w:t>
      </w:r>
      <w:r w:rsidRPr="00BF32E5">
        <w:rPr>
          <w:rFonts w:ascii="Times New Roman" w:hAnsi="Times New Roman" w:cs="Times New Roman"/>
          <w:sz w:val="24"/>
          <w:szCs w:val="24"/>
        </w:rPr>
        <w:tab/>
        <w:t>ADA Employment Actions—Regarded as Disability—Elements</w:t>
      </w:r>
    </w:p>
    <w:p w14:paraId="4C7D6DCE"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12.2</w:t>
      </w:r>
      <w:r w:rsidRPr="00BF32E5">
        <w:rPr>
          <w:rFonts w:ascii="Times New Roman" w:hAnsi="Times New Roman" w:cs="Times New Roman"/>
          <w:sz w:val="24"/>
          <w:szCs w:val="24"/>
        </w:rPr>
        <w:tab/>
        <w:t>ADA—Physical or Mental Impairment</w:t>
      </w:r>
    </w:p>
    <w:p w14:paraId="02EA5F04"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12.3</w:t>
      </w:r>
      <w:r w:rsidRPr="00BF32E5">
        <w:rPr>
          <w:rFonts w:ascii="Times New Roman" w:hAnsi="Times New Roman" w:cs="Times New Roman"/>
          <w:sz w:val="24"/>
          <w:szCs w:val="24"/>
        </w:rPr>
        <w:tab/>
        <w:t>ADA—Work as a Major Life Activity</w:t>
      </w:r>
    </w:p>
    <w:p w14:paraId="744BD47F"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12.4</w:t>
      </w:r>
      <w:r w:rsidRPr="00BF32E5">
        <w:rPr>
          <w:rFonts w:ascii="Times New Roman" w:hAnsi="Times New Roman" w:cs="Times New Roman"/>
          <w:sz w:val="24"/>
          <w:szCs w:val="24"/>
        </w:rPr>
        <w:tab/>
        <w:t xml:space="preserve">ADA—Interacting with Others as Major Life Activity </w:t>
      </w:r>
    </w:p>
    <w:p w14:paraId="1C240740"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12.5</w:t>
      </w:r>
      <w:r w:rsidRPr="00BF32E5">
        <w:rPr>
          <w:rFonts w:ascii="Times New Roman" w:hAnsi="Times New Roman" w:cs="Times New Roman"/>
          <w:sz w:val="24"/>
          <w:szCs w:val="24"/>
        </w:rPr>
        <w:tab/>
        <w:t>ADA—Qualified Individual</w:t>
      </w:r>
    </w:p>
    <w:p w14:paraId="2D36D713"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12.6</w:t>
      </w:r>
      <w:r w:rsidRPr="00BF32E5">
        <w:rPr>
          <w:rFonts w:ascii="Times New Roman" w:hAnsi="Times New Roman" w:cs="Times New Roman"/>
          <w:sz w:val="24"/>
          <w:szCs w:val="24"/>
        </w:rPr>
        <w:tab/>
        <w:t>ADA—Ability to Perform Essential Functions—Factors</w:t>
      </w:r>
    </w:p>
    <w:p w14:paraId="2BE5CFEA"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 xml:space="preserve">12.7 </w:t>
      </w:r>
      <w:r w:rsidRPr="00BF32E5">
        <w:rPr>
          <w:rFonts w:ascii="Times New Roman" w:hAnsi="Times New Roman" w:cs="Times New Roman"/>
          <w:sz w:val="24"/>
          <w:szCs w:val="24"/>
        </w:rPr>
        <w:tab/>
        <w:t>ADA—Reasonable Accommodation</w:t>
      </w:r>
    </w:p>
    <w:p w14:paraId="2A661FF2"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12.8</w:t>
      </w:r>
      <w:r w:rsidRPr="00BF32E5">
        <w:rPr>
          <w:rFonts w:ascii="Times New Roman" w:hAnsi="Times New Roman" w:cs="Times New Roman"/>
          <w:sz w:val="24"/>
          <w:szCs w:val="24"/>
        </w:rPr>
        <w:tab/>
        <w:t>ADA—Undue Hardship</w:t>
      </w:r>
    </w:p>
    <w:p w14:paraId="2AE45BE2"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12.9</w:t>
      </w:r>
      <w:r w:rsidRPr="00BF32E5">
        <w:rPr>
          <w:rFonts w:ascii="Times New Roman" w:hAnsi="Times New Roman" w:cs="Times New Roman"/>
          <w:sz w:val="24"/>
          <w:szCs w:val="24"/>
        </w:rPr>
        <w:tab/>
        <w:t>ADA—Discrimination—Retaliation</w:t>
      </w:r>
    </w:p>
    <w:p w14:paraId="15A5C632"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12.10</w:t>
      </w:r>
      <w:r w:rsidRPr="00BF32E5">
        <w:rPr>
          <w:rFonts w:ascii="Times New Roman" w:hAnsi="Times New Roman" w:cs="Times New Roman"/>
          <w:sz w:val="24"/>
          <w:szCs w:val="24"/>
        </w:rPr>
        <w:tab/>
        <w:t>ADA—Defenses—Business Necessity</w:t>
      </w:r>
    </w:p>
    <w:p w14:paraId="13B11E85"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12.11</w:t>
      </w:r>
      <w:r w:rsidRPr="00BF32E5">
        <w:rPr>
          <w:rFonts w:ascii="Times New Roman" w:hAnsi="Times New Roman" w:cs="Times New Roman"/>
          <w:sz w:val="24"/>
          <w:szCs w:val="24"/>
        </w:rPr>
        <w:tab/>
        <w:t>ADA—Defenses—Direct Threat</w:t>
      </w:r>
    </w:p>
    <w:p w14:paraId="0CEC8A31"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hanging="900"/>
        <w:rPr>
          <w:rFonts w:ascii="Times New Roman" w:hAnsi="Times New Roman" w:cs="Times New Roman"/>
          <w:sz w:val="24"/>
          <w:szCs w:val="24"/>
        </w:rPr>
      </w:pPr>
      <w:r w:rsidRPr="00BF32E5">
        <w:rPr>
          <w:rFonts w:ascii="Times New Roman" w:hAnsi="Times New Roman" w:cs="Times New Roman"/>
          <w:sz w:val="24"/>
          <w:szCs w:val="24"/>
        </w:rPr>
        <w:t>12.12</w:t>
      </w:r>
      <w:r w:rsidRPr="00BF32E5">
        <w:rPr>
          <w:rFonts w:ascii="Times New Roman" w:hAnsi="Times New Roman" w:cs="Times New Roman"/>
          <w:sz w:val="24"/>
          <w:szCs w:val="24"/>
        </w:rPr>
        <w:tab/>
        <w:t>ADA—Damages (Comment only)</w:t>
      </w:r>
    </w:p>
    <w:p w14:paraId="697E4447"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p>
    <w:p w14:paraId="2C0E46C3"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sidRPr="00BF32E5">
        <w:rPr>
          <w:rFonts w:ascii="Times New Roman" w:hAnsi="Times New Roman" w:cs="Times New Roman"/>
          <w:sz w:val="24"/>
          <w:szCs w:val="24"/>
        </w:rPr>
        <w:t>_____________</w:t>
      </w:r>
    </w:p>
    <w:p w14:paraId="3ABD810E"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b/>
          <w:bCs/>
          <w:sz w:val="24"/>
          <w:szCs w:val="24"/>
        </w:rPr>
      </w:pPr>
    </w:p>
    <w:p w14:paraId="130CC43D"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sz w:val="24"/>
          <w:szCs w:val="24"/>
        </w:rPr>
      </w:pPr>
      <w:r w:rsidRPr="00BF32E5">
        <w:rPr>
          <w:rFonts w:ascii="Times New Roman" w:hAnsi="Times New Roman" w:cs="Times New Roman"/>
          <w:b/>
          <w:bCs/>
          <w:sz w:val="24"/>
          <w:szCs w:val="24"/>
        </w:rPr>
        <w:t>Introductory Comment</w:t>
      </w:r>
    </w:p>
    <w:p w14:paraId="6BD11CF1" w14:textId="77777777" w:rsidR="00BF32E5" w:rsidRPr="00BF32E5" w:rsidRDefault="00BF32E5" w:rsidP="00BF32E5">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0504003"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This chapter provides jury instructions for actions brought under the Americans with Disabilities Act (ADA), 42 U.S.C. § 12101, </w:t>
      </w:r>
      <w:r w:rsidRPr="00BF32E5">
        <w:rPr>
          <w:rFonts w:ascii="Times New Roman" w:hAnsi="Times New Roman" w:cs="Times New Roman"/>
          <w:i/>
          <w:iCs/>
          <w:sz w:val="24"/>
          <w:szCs w:val="24"/>
        </w:rPr>
        <w:t xml:space="preserve">et seq. </w:t>
      </w:r>
      <w:r w:rsidRPr="00BF32E5">
        <w:rPr>
          <w:rFonts w:ascii="Times New Roman" w:hAnsi="Times New Roman" w:cs="Times New Roman"/>
          <w:sz w:val="24"/>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BF32E5">
        <w:rPr>
          <w:rFonts w:ascii="Times New Roman" w:hAnsi="Times New Roman" w:cs="Times New Roman"/>
          <w:i/>
          <w:iCs/>
          <w:sz w:val="24"/>
          <w:szCs w:val="24"/>
        </w:rPr>
        <w:t>Toyota Motor Manufacturing v. Williams</w:t>
      </w:r>
      <w:r w:rsidRPr="00BF32E5">
        <w:rPr>
          <w:rFonts w:ascii="Times New Roman" w:hAnsi="Times New Roman" w:cs="Times New Roman"/>
          <w:sz w:val="24"/>
          <w:szCs w:val="24"/>
        </w:rPr>
        <w:t xml:space="preserve">, 534 U.S. 184 (2002), and </w:t>
      </w:r>
      <w:r w:rsidRPr="00BF32E5">
        <w:rPr>
          <w:rFonts w:ascii="Times New Roman" w:hAnsi="Times New Roman" w:cs="Times New Roman"/>
          <w:i/>
          <w:iCs/>
          <w:sz w:val="24"/>
          <w:szCs w:val="24"/>
        </w:rPr>
        <w:t>Sutton v. United Air Lines</w:t>
      </w:r>
      <w:r w:rsidRPr="00BF32E5">
        <w:rPr>
          <w:rFonts w:ascii="Times New Roman" w:hAnsi="Times New Roman" w:cs="Times New Roman"/>
          <w:sz w:val="24"/>
          <w:szCs w:val="24"/>
        </w:rPr>
        <w:t xml:space="preserve">, 527 U.S. 471 (1999).  </w:t>
      </w:r>
      <w:r w:rsidRPr="00BF32E5">
        <w:rPr>
          <w:rFonts w:ascii="Times New Roman" w:hAnsi="Times New Roman" w:cs="Times New Roman"/>
          <w:i/>
          <w:iCs/>
          <w:sz w:val="24"/>
          <w:szCs w:val="24"/>
        </w:rPr>
        <w:t>See Weaving v. City of Hillsboro</w:t>
      </w:r>
      <w:r w:rsidRPr="00BF32E5">
        <w:rPr>
          <w:rFonts w:ascii="Times New Roman" w:hAnsi="Times New Roman" w:cs="Times New Roman"/>
          <w:sz w:val="24"/>
          <w:szCs w:val="24"/>
        </w:rPr>
        <w:t xml:space="preserve">, 763 F.3d 1106 (9th Cir. 2014), </w:t>
      </w:r>
      <w:r w:rsidRPr="00BF32E5">
        <w:rPr>
          <w:rFonts w:ascii="Times New Roman" w:hAnsi="Times New Roman" w:cs="Times New Roman"/>
          <w:i/>
          <w:iCs/>
          <w:sz w:val="24"/>
          <w:szCs w:val="24"/>
        </w:rPr>
        <w:t>cert. denied</w:t>
      </w:r>
      <w:r w:rsidRPr="00BF32E5">
        <w:rPr>
          <w:rFonts w:ascii="Times New Roman" w:hAnsi="Times New Roman" w:cs="Times New Roman"/>
          <w:sz w:val="24"/>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proofErr w:type="spellStart"/>
      <w:r w:rsidRPr="00BF32E5">
        <w:rPr>
          <w:rFonts w:ascii="Times New Roman" w:hAnsi="Times New Roman" w:cs="Times New Roman"/>
          <w:i/>
          <w:iCs/>
          <w:sz w:val="24"/>
          <w:szCs w:val="24"/>
        </w:rPr>
        <w:t>Becerril</w:t>
      </w:r>
      <w:proofErr w:type="spellEnd"/>
      <w:r w:rsidRPr="00BF32E5">
        <w:rPr>
          <w:rFonts w:ascii="Times New Roman" w:hAnsi="Times New Roman" w:cs="Times New Roman"/>
          <w:i/>
          <w:iCs/>
          <w:sz w:val="24"/>
          <w:szCs w:val="24"/>
        </w:rPr>
        <w:t xml:space="preserve"> v. Pima </w:t>
      </w:r>
      <w:proofErr w:type="spellStart"/>
      <w:r w:rsidRPr="00BF32E5">
        <w:rPr>
          <w:rFonts w:ascii="Times New Roman" w:hAnsi="Times New Roman" w:cs="Times New Roman"/>
          <w:i/>
          <w:iCs/>
          <w:sz w:val="24"/>
          <w:szCs w:val="24"/>
        </w:rPr>
        <w:t>Cnty</w:t>
      </w:r>
      <w:proofErr w:type="spellEnd"/>
      <w:r w:rsidRPr="00BF32E5">
        <w:rPr>
          <w:rFonts w:ascii="Times New Roman" w:hAnsi="Times New Roman" w:cs="Times New Roman"/>
          <w:i/>
          <w:iCs/>
          <w:sz w:val="24"/>
          <w:szCs w:val="24"/>
        </w:rPr>
        <w:t>. Assessor’s Office</w:t>
      </w:r>
      <w:r w:rsidRPr="00BF32E5">
        <w:rPr>
          <w:rFonts w:ascii="Times New Roman" w:hAnsi="Times New Roman" w:cs="Times New Roman"/>
          <w:sz w:val="24"/>
          <w:szCs w:val="24"/>
        </w:rPr>
        <w:t>, 587 F.3d 1162, 1164 (9th Cir. 2009).</w:t>
      </w:r>
    </w:p>
    <w:p w14:paraId="31B493AC"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7920C7E"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w:t>
      </w:r>
      <w:proofErr w:type="gramStart"/>
      <w:r w:rsidRPr="00BF32E5">
        <w:rPr>
          <w:rFonts w:ascii="Times New Roman" w:hAnsi="Times New Roman" w:cs="Times New Roman"/>
          <w:sz w:val="24"/>
          <w:szCs w:val="24"/>
        </w:rPr>
        <w:t>education</w:t>
      </w:r>
      <w:proofErr w:type="gramEnd"/>
      <w:r w:rsidRPr="00BF32E5">
        <w:rPr>
          <w:rFonts w:ascii="Times New Roman" w:hAnsi="Times New Roman" w:cs="Times New Roman"/>
          <w:sz w:val="24"/>
          <w:szCs w:val="24"/>
        </w:rPr>
        <w:t xml:space="preserve"> and access to public services. § 12101(a)(3), (b).</w:t>
      </w:r>
    </w:p>
    <w:p w14:paraId="38F623E7"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CC1E92"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BF32E5">
        <w:rPr>
          <w:rFonts w:ascii="Times New Roman" w:hAnsi="Times New Roman" w:cs="Times New Roman"/>
          <w:i/>
          <w:iCs/>
          <w:sz w:val="24"/>
          <w:szCs w:val="24"/>
        </w:rPr>
        <w:t xml:space="preserve">PGA Tour, Inc. </w:t>
      </w:r>
      <w:r w:rsidRPr="00BF32E5">
        <w:rPr>
          <w:rFonts w:ascii="Times New Roman" w:hAnsi="Times New Roman" w:cs="Times New Roman"/>
          <w:i/>
          <w:iCs/>
          <w:sz w:val="24"/>
          <w:szCs w:val="24"/>
        </w:rPr>
        <w:lastRenderedPageBreak/>
        <w:t>v. Martin</w:t>
      </w:r>
      <w:r w:rsidRPr="00BF32E5">
        <w:rPr>
          <w:rFonts w:ascii="Times New Roman" w:hAnsi="Times New Roman" w:cs="Times New Roman"/>
          <w:sz w:val="24"/>
          <w:szCs w:val="24"/>
        </w:rPr>
        <w:t xml:space="preserve">, 432 U.S. 661, 675 (2001).  Title I protects only employees of employers with 15 or more employees.  42 U.S.C. § 12111(5)(A); </w:t>
      </w:r>
      <w:r w:rsidRPr="00BF32E5">
        <w:rPr>
          <w:rFonts w:ascii="Times New Roman" w:hAnsi="Times New Roman" w:cs="Times New Roman"/>
          <w:i/>
          <w:iCs/>
          <w:sz w:val="24"/>
          <w:szCs w:val="24"/>
        </w:rPr>
        <w:t>Clackamas Gastroenterology Assocs. v. Wells</w:t>
      </w:r>
      <w:r w:rsidRPr="00BF32E5">
        <w:rPr>
          <w:rFonts w:ascii="Times New Roman" w:hAnsi="Times New Roman" w:cs="Times New Roman"/>
          <w:sz w:val="24"/>
          <w:szCs w:val="24"/>
        </w:rPr>
        <w:t xml:space="preserve">, 538 U.S. 440, 444-51 (2003) (defining “employee”); </w:t>
      </w:r>
      <w:r w:rsidRPr="00BF32E5">
        <w:rPr>
          <w:rFonts w:ascii="Times New Roman" w:hAnsi="Times New Roman" w:cs="Times New Roman"/>
          <w:i/>
          <w:iCs/>
          <w:sz w:val="24"/>
          <w:szCs w:val="24"/>
        </w:rPr>
        <w:t xml:space="preserve">Castle v. </w:t>
      </w:r>
      <w:proofErr w:type="spellStart"/>
      <w:r w:rsidRPr="00BF32E5">
        <w:rPr>
          <w:rFonts w:ascii="Times New Roman" w:hAnsi="Times New Roman" w:cs="Times New Roman"/>
          <w:i/>
          <w:iCs/>
          <w:sz w:val="24"/>
          <w:szCs w:val="24"/>
        </w:rPr>
        <w:t>Eurofresh</w:t>
      </w:r>
      <w:proofErr w:type="spellEnd"/>
      <w:r w:rsidRPr="00BF32E5">
        <w:rPr>
          <w:rFonts w:ascii="Times New Roman" w:hAnsi="Times New Roman" w:cs="Times New Roman"/>
          <w:sz w:val="24"/>
          <w:szCs w:val="24"/>
        </w:rPr>
        <w:t>, 731 F.3d 901 (9th Cir. 2013) (analyzing whether prisoner can be deemed “employee”).</w:t>
      </w:r>
    </w:p>
    <w:p w14:paraId="12BDB616"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2FF24D0"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61340997"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460D161"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BF32E5">
        <w:rPr>
          <w:rFonts w:ascii="Times New Roman" w:hAnsi="Times New Roman" w:cs="Times New Roman"/>
          <w:i/>
          <w:iCs/>
          <w:sz w:val="24"/>
          <w:szCs w:val="24"/>
        </w:rPr>
        <w:t>Dunlap v. Liberty Natural Prods., Inc</w:t>
      </w:r>
      <w:r w:rsidRPr="00BF32E5">
        <w:rPr>
          <w:rFonts w:ascii="Times New Roman" w:hAnsi="Times New Roman" w:cs="Times New Roman"/>
          <w:sz w:val="24"/>
          <w:szCs w:val="24"/>
        </w:rPr>
        <w:t xml:space="preserve">., 878 F.3d 794, 798 (9th Cir. 2017) (“We have recognized that a failure-to-accommodate claim is ‘analytically distinct from a claim of disparate treatment or impact under the ADA.’”) (quoting </w:t>
      </w:r>
      <w:r w:rsidRPr="00BF32E5">
        <w:rPr>
          <w:rFonts w:ascii="Times New Roman" w:hAnsi="Times New Roman" w:cs="Times New Roman"/>
          <w:i/>
          <w:iCs/>
          <w:sz w:val="24"/>
          <w:szCs w:val="24"/>
        </w:rPr>
        <w:t xml:space="preserve">Johnson v. Bd. of Trustees of Boundary </w:t>
      </w:r>
      <w:proofErr w:type="spellStart"/>
      <w:r w:rsidRPr="00BF32E5">
        <w:rPr>
          <w:rFonts w:ascii="Times New Roman" w:hAnsi="Times New Roman" w:cs="Times New Roman"/>
          <w:i/>
          <w:iCs/>
          <w:sz w:val="24"/>
          <w:szCs w:val="24"/>
        </w:rPr>
        <w:t>Cty</w:t>
      </w:r>
      <w:proofErr w:type="spellEnd"/>
      <w:r w:rsidRPr="00BF32E5">
        <w:rPr>
          <w:rFonts w:ascii="Times New Roman" w:hAnsi="Times New Roman" w:cs="Times New Roman"/>
          <w:i/>
          <w:iCs/>
          <w:sz w:val="24"/>
          <w:szCs w:val="24"/>
        </w:rPr>
        <w:t>. Sch. Dist</w:t>
      </w:r>
      <w:r w:rsidRPr="00BF32E5">
        <w:rPr>
          <w:rFonts w:ascii="Times New Roman" w:hAnsi="Times New Roman" w:cs="Times New Roman"/>
          <w:sz w:val="24"/>
          <w:szCs w:val="24"/>
        </w:rPr>
        <w:t>., 666 F.3d 561, 567 (9th Cir. 2011)).</w:t>
      </w:r>
    </w:p>
    <w:p w14:paraId="314D42D1"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C0917D3"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“Both disparate-treatment and disparate-impact claims are cognizable under the ADA.”  </w:t>
      </w:r>
      <w:r w:rsidRPr="00BF32E5">
        <w:rPr>
          <w:rFonts w:ascii="Times New Roman" w:hAnsi="Times New Roman" w:cs="Times New Roman"/>
          <w:i/>
          <w:iCs/>
          <w:sz w:val="24"/>
          <w:szCs w:val="24"/>
        </w:rPr>
        <w:t>Raytheon Co. v. Hernandez</w:t>
      </w:r>
      <w:r w:rsidRPr="00BF32E5">
        <w:rPr>
          <w:rFonts w:ascii="Times New Roman" w:hAnsi="Times New Roman" w:cs="Times New Roman"/>
          <w:sz w:val="24"/>
          <w:szCs w:val="24"/>
        </w:rPr>
        <w:t xml:space="preserve">, 540 U.S. 44, 53 (2003); </w:t>
      </w:r>
      <w:r w:rsidRPr="00BF32E5">
        <w:rPr>
          <w:rFonts w:ascii="Times New Roman" w:hAnsi="Times New Roman" w:cs="Times New Roman"/>
          <w:i/>
          <w:iCs/>
          <w:sz w:val="24"/>
          <w:szCs w:val="24"/>
        </w:rPr>
        <w:t xml:space="preserve">Lopez v. Pacific Maritime </w:t>
      </w:r>
      <w:proofErr w:type="spellStart"/>
      <w:r w:rsidRPr="00BF32E5">
        <w:rPr>
          <w:rFonts w:ascii="Times New Roman" w:hAnsi="Times New Roman" w:cs="Times New Roman"/>
          <w:i/>
          <w:iCs/>
          <w:sz w:val="24"/>
          <w:szCs w:val="24"/>
        </w:rPr>
        <w:t>Ass’n</w:t>
      </w:r>
      <w:proofErr w:type="spellEnd"/>
      <w:r w:rsidRPr="00BF32E5">
        <w:rPr>
          <w:rFonts w:ascii="Times New Roman" w:hAnsi="Times New Roman" w:cs="Times New Roman"/>
          <w:sz w:val="24"/>
          <w:szCs w:val="24"/>
        </w:rPr>
        <w:t xml:space="preserve">, 657 F.3d 762, 767 (9th Cir. 2011) (leaving open question of how § 12112(b)(6) applies to disparate impact claim).  For a case involving a pre-employment claim under the ADA, </w:t>
      </w:r>
      <w:r w:rsidRPr="00BF32E5">
        <w:rPr>
          <w:rFonts w:ascii="Times New Roman" w:hAnsi="Times New Roman" w:cs="Times New Roman"/>
          <w:i/>
          <w:iCs/>
          <w:sz w:val="24"/>
          <w:szCs w:val="24"/>
        </w:rPr>
        <w:t>see E.E.O.C. v. BNSF Rwy. Co.</w:t>
      </w:r>
      <w:r w:rsidRPr="00BF32E5">
        <w:rPr>
          <w:rFonts w:ascii="Times New Roman" w:hAnsi="Times New Roman" w:cs="Times New Roman"/>
          <w:sz w:val="24"/>
          <w:szCs w:val="24"/>
        </w:rPr>
        <w:t xml:space="preserve">, 902 F.3d 916 (9th Cir. 2018).  </w:t>
      </w:r>
    </w:p>
    <w:p w14:paraId="03E3F9EF"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BF7F81A"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In </w:t>
      </w:r>
      <w:r w:rsidRPr="00BF32E5">
        <w:rPr>
          <w:rFonts w:ascii="Times New Roman" w:hAnsi="Times New Roman" w:cs="Times New Roman"/>
          <w:i/>
          <w:iCs/>
          <w:sz w:val="24"/>
          <w:szCs w:val="24"/>
        </w:rPr>
        <w:t xml:space="preserve">Chevron U.S.A., Inc. v. </w:t>
      </w:r>
      <w:proofErr w:type="spellStart"/>
      <w:r w:rsidRPr="00BF32E5">
        <w:rPr>
          <w:rFonts w:ascii="Times New Roman" w:hAnsi="Times New Roman" w:cs="Times New Roman"/>
          <w:i/>
          <w:iCs/>
          <w:sz w:val="24"/>
          <w:szCs w:val="24"/>
        </w:rPr>
        <w:t>Echazabal</w:t>
      </w:r>
      <w:proofErr w:type="spellEnd"/>
      <w:r w:rsidRPr="00BF32E5">
        <w:rPr>
          <w:rFonts w:ascii="Times New Roman" w:hAnsi="Times New Roman" w:cs="Times New Roman"/>
          <w:sz w:val="24"/>
          <w:szCs w:val="24"/>
        </w:rPr>
        <w:t xml:space="preserve">, 536 U.S. 73 (2002), the Supreme Court sanctioned expansion of the business necessity defense based on EEOC regulations.  </w:t>
      </w:r>
      <w:r w:rsidRPr="00BF32E5">
        <w:rPr>
          <w:rFonts w:ascii="Times New Roman" w:hAnsi="Times New Roman" w:cs="Times New Roman"/>
          <w:i/>
          <w:iCs/>
          <w:sz w:val="24"/>
          <w:szCs w:val="24"/>
        </w:rPr>
        <w:t>Chevron</w:t>
      </w:r>
      <w:r w:rsidRPr="00BF32E5">
        <w:rPr>
          <w:rFonts w:ascii="Times New Roman" w:hAnsi="Times New Roman" w:cs="Times New Roman"/>
          <w:sz w:val="24"/>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BF32E5">
        <w:rPr>
          <w:rFonts w:ascii="Times New Roman" w:hAnsi="Times New Roman" w:cs="Times New Roman"/>
          <w:i/>
          <w:iCs/>
          <w:sz w:val="24"/>
          <w:szCs w:val="24"/>
        </w:rPr>
        <w:t>Chevron</w:t>
      </w:r>
      <w:r w:rsidRPr="00BF32E5">
        <w:rPr>
          <w:rFonts w:ascii="Times New Roman" w:hAnsi="Times New Roman" w:cs="Times New Roman"/>
          <w:sz w:val="24"/>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 . . ”  </w:t>
      </w:r>
      <w:r w:rsidRPr="00BF32E5">
        <w:rPr>
          <w:rFonts w:ascii="Times New Roman" w:hAnsi="Times New Roman" w:cs="Times New Roman"/>
          <w:i/>
          <w:iCs/>
          <w:sz w:val="24"/>
          <w:szCs w:val="24"/>
        </w:rPr>
        <w:t>Id</w:t>
      </w:r>
      <w:r w:rsidRPr="00BF32E5">
        <w:rPr>
          <w:rFonts w:ascii="Times New Roman" w:hAnsi="Times New Roman" w:cs="Times New Roman"/>
          <w:sz w:val="24"/>
          <w:szCs w:val="24"/>
        </w:rPr>
        <w:t>. at 78-79, 86-87;</w:t>
      </w:r>
      <w:r w:rsidRPr="00BF32E5">
        <w:rPr>
          <w:rFonts w:ascii="Times New Roman" w:hAnsi="Times New Roman" w:cs="Times New Roman"/>
          <w:i/>
          <w:iCs/>
          <w:sz w:val="24"/>
          <w:szCs w:val="24"/>
        </w:rPr>
        <w:t xml:space="preserve"> Hutton v. Elf </w:t>
      </w:r>
      <w:proofErr w:type="spellStart"/>
      <w:r w:rsidRPr="00BF32E5">
        <w:rPr>
          <w:rFonts w:ascii="Times New Roman" w:hAnsi="Times New Roman" w:cs="Times New Roman"/>
          <w:i/>
          <w:iCs/>
          <w:sz w:val="24"/>
          <w:szCs w:val="24"/>
        </w:rPr>
        <w:t>Atochem</w:t>
      </w:r>
      <w:proofErr w:type="spellEnd"/>
      <w:r w:rsidRPr="00BF32E5">
        <w:rPr>
          <w:rFonts w:ascii="Times New Roman" w:hAnsi="Times New Roman" w:cs="Times New Roman"/>
          <w:i/>
          <w:iCs/>
          <w:sz w:val="24"/>
          <w:szCs w:val="24"/>
        </w:rPr>
        <w:t xml:space="preserve"> North America, Inc.,</w:t>
      </w:r>
      <w:r w:rsidRPr="00BF32E5">
        <w:rPr>
          <w:rFonts w:ascii="Times New Roman" w:hAnsi="Times New Roman" w:cs="Times New Roman"/>
          <w:sz w:val="24"/>
          <w:szCs w:val="24"/>
        </w:rPr>
        <w:t xml:space="preserve"> 273 F.3d 884, 892-94 (9th Cir. 2001) (applying “direct threat” affirmative defense factors in EEOC regulations to analysis of qualification standards).</w:t>
      </w:r>
    </w:p>
    <w:p w14:paraId="52F5D2B6"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BA18515"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A plaintiff’s remedies in employment actions under the ADA are generally the same remedies available under Title VII governing employment discrimination.  42 U.S.C. § 12117(a).  </w:t>
      </w:r>
      <w:r w:rsidRPr="00BF32E5">
        <w:rPr>
          <w:rFonts w:ascii="Times New Roman" w:hAnsi="Times New Roman" w:cs="Times New Roman"/>
          <w:i/>
          <w:iCs/>
          <w:sz w:val="24"/>
          <w:szCs w:val="24"/>
        </w:rPr>
        <w:t>See</w:t>
      </w:r>
      <w:r w:rsidRPr="00BF32E5">
        <w:rPr>
          <w:rFonts w:ascii="Times New Roman" w:hAnsi="Times New Roman" w:cs="Times New Roman"/>
          <w:sz w:val="24"/>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BF32E5">
        <w:rPr>
          <w:rFonts w:ascii="Times New Roman" w:hAnsi="Times New Roman" w:cs="Times New Roman"/>
          <w:i/>
          <w:iCs/>
          <w:sz w:val="24"/>
          <w:szCs w:val="24"/>
        </w:rPr>
        <w:t>Alvarado v. Cajun Operating Co.</w:t>
      </w:r>
      <w:r w:rsidRPr="00BF32E5">
        <w:rPr>
          <w:rFonts w:ascii="Times New Roman" w:hAnsi="Times New Roman" w:cs="Times New Roman"/>
          <w:sz w:val="24"/>
          <w:szCs w:val="24"/>
        </w:rPr>
        <w:t xml:space="preserve">, 588 F.3d 1261, 1270 (9th Cir. 2009) (“Because we </w:t>
      </w:r>
      <w:r w:rsidRPr="00BF32E5">
        <w:rPr>
          <w:rFonts w:ascii="Times New Roman" w:hAnsi="Times New Roman" w:cs="Times New Roman"/>
          <w:sz w:val="24"/>
          <w:szCs w:val="24"/>
        </w:rPr>
        <w:lastRenderedPageBreak/>
        <w:t>conclude that ADA retaliation claims are redressable only by equitable relief, no jury trial is available.”)</w:t>
      </w:r>
    </w:p>
    <w:p w14:paraId="3E7B3EDC"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r>
    </w:p>
    <w:p w14:paraId="19275BA9"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15F41ECA"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14DEE4B" w14:textId="189E5644" w:rsid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BF32E5">
        <w:rPr>
          <w:rFonts w:ascii="Times New Roman" w:hAnsi="Times New Roman" w:cs="Times New Roman"/>
          <w:sz w:val="24"/>
          <w:szCs w:val="24"/>
        </w:rPr>
        <w:tab/>
        <w:t xml:space="preserve">The Committee notes, as stated above, that these instructions focus on employment claims under Title I of the ADA, and not Title III, which addresses public accommodations.  In </w:t>
      </w:r>
      <w:r w:rsidRPr="00BF32E5">
        <w:rPr>
          <w:rFonts w:ascii="Times New Roman" w:hAnsi="Times New Roman" w:cs="Times New Roman"/>
          <w:i/>
          <w:iCs/>
          <w:sz w:val="24"/>
          <w:szCs w:val="24"/>
        </w:rPr>
        <w:t>Lopez v. Catalina Channel Express, Inc.</w:t>
      </w:r>
      <w:r w:rsidRPr="00BF32E5">
        <w:rPr>
          <w:rFonts w:ascii="Times New Roman" w:hAnsi="Times New Roman" w:cs="Times New Roman"/>
          <w:sz w:val="24"/>
          <w:szCs w:val="24"/>
        </w:rPr>
        <w:t>,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stated “only if the plaintiff first makes a plausible showing that the barrier removal is readily achievable, does the defendant then have to negate that showing and prove that the removal is not readily achievable.”</w:t>
      </w:r>
      <w:r w:rsidRPr="00BF32E5">
        <w:rPr>
          <w:rFonts w:ascii="Times New Roman" w:hAnsi="Times New Roman" w:cs="Times New Roman"/>
          <w:i/>
          <w:iCs/>
          <w:sz w:val="24"/>
          <w:szCs w:val="24"/>
        </w:rPr>
        <w:t xml:space="preserve">  Id. </w:t>
      </w:r>
      <w:r w:rsidRPr="00BF32E5">
        <w:rPr>
          <w:rFonts w:ascii="Times New Roman" w:hAnsi="Times New Roman" w:cs="Times New Roman"/>
          <w:sz w:val="24"/>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0D6038F6" w14:textId="3B28D539" w:rsidR="003F6A27" w:rsidRDefault="003F6A27"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542C74F" w14:textId="41614FFC" w:rsidR="003F6A27" w:rsidRPr="003F6A27" w:rsidRDefault="003F6A27" w:rsidP="0052068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0687" w:rsidRPr="00520687">
        <w:rPr>
          <w:rFonts w:ascii="Times New Roman" w:hAnsi="Times New Roman" w:cs="Times New Roman"/>
          <w:sz w:val="24"/>
          <w:szCs w:val="24"/>
        </w:rPr>
        <w:t xml:space="preserve">In </w:t>
      </w:r>
      <w:r w:rsidR="00520687" w:rsidRPr="00520687">
        <w:rPr>
          <w:rFonts w:ascii="Times New Roman" w:hAnsi="Times New Roman" w:cs="Times New Roman"/>
          <w:i/>
          <w:iCs/>
          <w:sz w:val="24"/>
          <w:szCs w:val="24"/>
        </w:rPr>
        <w:t>Langer v. Kiser</w:t>
      </w:r>
      <w:r w:rsidR="00520687" w:rsidRPr="00520687">
        <w:rPr>
          <w:rFonts w:ascii="Times New Roman" w:hAnsi="Times New Roman" w:cs="Times New Roman"/>
          <w:sz w:val="24"/>
          <w:szCs w:val="24"/>
        </w:rPr>
        <w:t>, 57 F.4th 1085 (9th Cir. 2023), the Ninth Circuit</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held it was legal error</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to base a credibility determination on a</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plaintiff’s history of ADA litigation, on a plaintiff’s</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status as an</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accessibility advocate or “tester,” or on the plaintiff’s decision to</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forego claims</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against neighboring businesses, because past litigation</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history is not “a basis for questioning the sincerity” of a plaintiff’s</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intent to return to a facility, and “there is no past patronage or bona</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fide</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 xml:space="preserve">customer requirement to bring an ADA claim.” </w:t>
      </w:r>
      <w:r w:rsidR="00520687">
        <w:rPr>
          <w:rFonts w:ascii="Times New Roman" w:hAnsi="Times New Roman" w:cs="Times New Roman"/>
          <w:sz w:val="24"/>
          <w:szCs w:val="24"/>
        </w:rPr>
        <w:t xml:space="preserve"> </w:t>
      </w:r>
      <w:r w:rsidR="00520687" w:rsidRPr="00520687">
        <w:rPr>
          <w:rFonts w:ascii="Times New Roman" w:hAnsi="Times New Roman" w:cs="Times New Roman"/>
          <w:i/>
          <w:iCs/>
          <w:sz w:val="24"/>
          <w:szCs w:val="24"/>
        </w:rPr>
        <w:t xml:space="preserve">Id. </w:t>
      </w:r>
      <w:r w:rsidR="00520687" w:rsidRPr="00520687">
        <w:rPr>
          <w:rFonts w:ascii="Times New Roman" w:hAnsi="Times New Roman" w:cs="Times New Roman"/>
          <w:sz w:val="24"/>
          <w:szCs w:val="24"/>
        </w:rPr>
        <w:t>at 1095</w:t>
      </w:r>
      <w:r w:rsidR="00520687">
        <w:rPr>
          <w:rFonts w:ascii="Times New Roman" w:hAnsi="Times New Roman" w:cs="Times New Roman"/>
          <w:sz w:val="24"/>
          <w:szCs w:val="24"/>
        </w:rPr>
        <w:t>-</w:t>
      </w:r>
      <w:r w:rsidR="00520687" w:rsidRPr="00520687">
        <w:rPr>
          <w:rFonts w:ascii="Times New Roman" w:hAnsi="Times New Roman" w:cs="Times New Roman"/>
          <w:sz w:val="24"/>
          <w:szCs w:val="24"/>
        </w:rPr>
        <w:t>99.</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A court “may still make a credibility determination against a serial</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litigant, but there must be something other than the fact that the</w:t>
      </w:r>
      <w:r w:rsidR="00520687">
        <w:rPr>
          <w:rFonts w:ascii="Times New Roman" w:hAnsi="Times New Roman" w:cs="Times New Roman"/>
          <w:sz w:val="24"/>
          <w:szCs w:val="24"/>
        </w:rPr>
        <w:t xml:space="preserve"> </w:t>
      </w:r>
      <w:r w:rsidR="00520687" w:rsidRPr="00520687">
        <w:rPr>
          <w:rFonts w:ascii="Times New Roman" w:hAnsi="Times New Roman" w:cs="Times New Roman"/>
          <w:sz w:val="24"/>
          <w:szCs w:val="24"/>
        </w:rPr>
        <w:t>litigant files a lot of ADA cases to instill doubt in [their] testimony.”</w:t>
      </w:r>
      <w:r w:rsidR="00520687">
        <w:rPr>
          <w:rFonts w:ascii="Times New Roman" w:hAnsi="Times New Roman" w:cs="Times New Roman"/>
          <w:sz w:val="24"/>
          <w:szCs w:val="24"/>
        </w:rPr>
        <w:t xml:space="preserve">  </w:t>
      </w:r>
      <w:r w:rsidR="00520687" w:rsidRPr="00520687">
        <w:rPr>
          <w:rFonts w:ascii="Times New Roman" w:hAnsi="Times New Roman" w:cs="Times New Roman"/>
          <w:i/>
          <w:iCs/>
          <w:sz w:val="24"/>
          <w:szCs w:val="24"/>
        </w:rPr>
        <w:t>Id</w:t>
      </w:r>
      <w:r w:rsidR="00520687" w:rsidRPr="00520687">
        <w:rPr>
          <w:rFonts w:ascii="Times New Roman" w:hAnsi="Times New Roman" w:cs="Times New Roman"/>
          <w:sz w:val="24"/>
          <w:szCs w:val="24"/>
        </w:rPr>
        <w:t>. at 1097</w:t>
      </w:r>
    </w:p>
    <w:p w14:paraId="6DE4C357" w14:textId="77777777" w:rsidR="003F6A27" w:rsidRPr="003F6A27" w:rsidRDefault="003F6A27" w:rsidP="003F6A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C26CFCC" w14:textId="7BCBC33D" w:rsidR="003F6A27" w:rsidRPr="003F6A27" w:rsidRDefault="003F6A27" w:rsidP="003F6A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F6A27">
        <w:rPr>
          <w:rFonts w:ascii="Times New Roman" w:hAnsi="Times New Roman" w:cs="Times New Roman"/>
          <w:sz w:val="24"/>
          <w:szCs w:val="24"/>
        </w:rPr>
        <w:t xml:space="preserve">The Ninth Circuit explained </w:t>
      </w:r>
      <w:r w:rsidRPr="003F6A27">
        <w:rPr>
          <w:rFonts w:ascii="Times New Roman" w:hAnsi="Times New Roman" w:cs="Times New Roman"/>
          <w:i/>
          <w:iCs/>
          <w:sz w:val="24"/>
          <w:szCs w:val="24"/>
        </w:rPr>
        <w:t>in Langer</w:t>
      </w:r>
      <w:r w:rsidRPr="003F6A27">
        <w:rPr>
          <w:rFonts w:ascii="Times New Roman" w:hAnsi="Times New Roman" w:cs="Times New Roman"/>
          <w:sz w:val="24"/>
          <w:szCs w:val="24"/>
        </w:rPr>
        <w:t xml:space="preserve"> that “the actual usage of the facility in question” is determinative of whether it is open to the public such that compliance with Title III of the ADA is mandated.  </w:t>
      </w:r>
      <w:r w:rsidRPr="003F6A27">
        <w:rPr>
          <w:rFonts w:ascii="Times New Roman" w:hAnsi="Times New Roman" w:cs="Times New Roman"/>
          <w:i/>
          <w:iCs/>
          <w:sz w:val="24"/>
          <w:szCs w:val="24"/>
        </w:rPr>
        <w:t>Langer</w:t>
      </w:r>
      <w:r w:rsidRPr="003F6A27">
        <w:rPr>
          <w:rFonts w:ascii="Times New Roman" w:hAnsi="Times New Roman" w:cs="Times New Roman"/>
          <w:sz w:val="24"/>
          <w:szCs w:val="24"/>
        </w:rPr>
        <w:t xml:space="preserve">, 57 F.4th at 1102. </w:t>
      </w:r>
      <w:r w:rsidR="001F46DC">
        <w:rPr>
          <w:rFonts w:ascii="Times New Roman" w:hAnsi="Times New Roman" w:cs="Times New Roman"/>
          <w:sz w:val="24"/>
          <w:szCs w:val="24"/>
        </w:rPr>
        <w:t xml:space="preserve"> </w:t>
      </w:r>
      <w:r w:rsidRPr="003F6A27">
        <w:rPr>
          <w:rFonts w:ascii="Times New Roman" w:hAnsi="Times New Roman" w:cs="Times New Roman"/>
          <w:sz w:val="24"/>
          <w:szCs w:val="24"/>
        </w:rPr>
        <w:t xml:space="preserve">“Absent information about actual usage, considerations such as the nature of the entity and the facility, as well as the public’s reasonable expectations regarding use of the facility, may further guide a court’s analysis.”  </w:t>
      </w:r>
      <w:r w:rsidRPr="003F6A27">
        <w:rPr>
          <w:rFonts w:ascii="Times New Roman" w:hAnsi="Times New Roman" w:cs="Times New Roman"/>
          <w:i/>
          <w:iCs/>
          <w:sz w:val="24"/>
          <w:szCs w:val="24"/>
        </w:rPr>
        <w:t xml:space="preserve">Id. </w:t>
      </w:r>
    </w:p>
    <w:p w14:paraId="2888CD91" w14:textId="77777777" w:rsidR="003F6A27" w:rsidRPr="00BF32E5" w:rsidRDefault="003F6A27"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9F46D24"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10BFF54" w14:textId="77777777"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44F2005" w14:textId="3357DC18" w:rsidR="00BF32E5" w:rsidRPr="00BF32E5" w:rsidRDefault="00BF32E5" w:rsidP="00BF32E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right"/>
        <w:rPr>
          <w:rFonts w:ascii="Times New Roman" w:hAnsi="Times New Roman" w:cs="Times New Roman"/>
          <w:i/>
          <w:iCs/>
          <w:sz w:val="24"/>
          <w:szCs w:val="24"/>
        </w:rPr>
      </w:pPr>
      <w:r w:rsidRPr="00BF32E5">
        <w:rPr>
          <w:rFonts w:ascii="Times New Roman" w:hAnsi="Times New Roman" w:cs="Times New Roman"/>
          <w:i/>
          <w:iCs/>
          <w:sz w:val="24"/>
          <w:szCs w:val="24"/>
        </w:rPr>
        <w:t xml:space="preserve">Revised </w:t>
      </w:r>
      <w:r w:rsidR="003F6A27">
        <w:rPr>
          <w:rFonts w:ascii="Times New Roman" w:hAnsi="Times New Roman" w:cs="Times New Roman"/>
          <w:i/>
          <w:iCs/>
          <w:sz w:val="24"/>
          <w:szCs w:val="24"/>
        </w:rPr>
        <w:t>Mar. 2023</w:t>
      </w:r>
    </w:p>
    <w:p w14:paraId="4641BC82" w14:textId="77777777" w:rsidR="00FE7F82" w:rsidRDefault="00FE7F82"/>
    <w:sectPr w:rsidR="00FE7F82" w:rsidSect="00BF32E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5"/>
    <w:rsid w:val="001F46DC"/>
    <w:rsid w:val="003F6A27"/>
    <w:rsid w:val="00520687"/>
    <w:rsid w:val="00887257"/>
    <w:rsid w:val="00BF32E5"/>
    <w:rsid w:val="00FD6333"/>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F8E9"/>
  <w15:chartTrackingRefBased/>
  <w15:docId w15:val="{1D35D936-CFA4-483F-91E4-048E6CA0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6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Ava Amerie</cp:lastModifiedBy>
  <cp:revision>2</cp:revision>
  <dcterms:created xsi:type="dcterms:W3CDTF">2023-04-21T19:40:00Z</dcterms:created>
  <dcterms:modified xsi:type="dcterms:W3CDTF">2023-04-21T19:40:00Z</dcterms:modified>
</cp:coreProperties>
</file>