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FD84D" w14:textId="77777777" w:rsidR="0079408B" w:rsidRPr="00F43EB2" w:rsidRDefault="0079408B" w:rsidP="0079408B">
      <w:pPr>
        <w:tabs>
          <w:tab w:val="left" w:pos="720"/>
        </w:tabs>
        <w:autoSpaceDE w:val="0"/>
        <w:autoSpaceDN w:val="0"/>
        <w:adjustRightInd w:val="0"/>
        <w:spacing w:after="0" w:line="240" w:lineRule="auto"/>
        <w:jc w:val="center"/>
        <w:outlineLvl w:val="0"/>
        <w:rPr>
          <w:rFonts w:ascii="Times New Roman" w:hAnsi="Times New Roman" w:cs="Times New Roman"/>
          <w:b/>
          <w:bCs/>
          <w:sz w:val="24"/>
          <w:szCs w:val="24"/>
        </w:rPr>
      </w:pPr>
      <w:bookmarkStart w:id="0" w:name="_Toc117512503"/>
      <w:r w:rsidRPr="00F43EB2">
        <w:rPr>
          <w:rFonts w:ascii="Times New Roman" w:hAnsi="Times New Roman" w:cs="Times New Roman"/>
          <w:b/>
          <w:bCs/>
          <w:sz w:val="24"/>
          <w:szCs w:val="24"/>
        </w:rPr>
        <w:t>Introductory Comment</w:t>
      </w:r>
      <w:bookmarkEnd w:id="0"/>
    </w:p>
    <w:p w14:paraId="38A9E1F5" w14:textId="77777777" w:rsidR="0079408B" w:rsidRPr="00F43EB2" w:rsidRDefault="0079408B" w:rsidP="0079408B">
      <w:pPr>
        <w:spacing w:after="0" w:line="240" w:lineRule="auto"/>
        <w:rPr>
          <w:rFonts w:ascii="Times New Roman" w:hAnsi="Times New Roman" w:cs="Times New Roman"/>
          <w:sz w:val="24"/>
        </w:rPr>
      </w:pPr>
    </w:p>
    <w:p w14:paraId="684E41A1" w14:textId="03275D67" w:rsidR="0079408B" w:rsidRPr="00F43EB2" w:rsidRDefault="0079408B" w:rsidP="0079408B">
      <w:pPr>
        <w:autoSpaceDE w:val="0"/>
        <w:autoSpaceDN w:val="0"/>
        <w:adjustRightInd w:val="0"/>
        <w:spacing w:after="0" w:line="240" w:lineRule="auto"/>
        <w:rPr>
          <w:rFonts w:ascii="Times New Roman" w:hAnsi="Times New Roman" w:cs="Times New Roman"/>
          <w:sz w:val="24"/>
          <w:szCs w:val="24"/>
        </w:rPr>
      </w:pPr>
      <w:r w:rsidRPr="00F43EB2">
        <w:rPr>
          <w:rFonts w:ascii="Times New Roman" w:hAnsi="Times New Roman" w:cs="Times New Roman"/>
          <w:sz w:val="24"/>
          <w:szCs w:val="24"/>
        </w:rPr>
        <w:tab/>
        <w:t xml:space="preserve">This chapter provides jury instructions for actions brought under the Americans with Disabilities Act (ADA), 42 U.S.C. § 12101, </w:t>
      </w:r>
      <w:r w:rsidRPr="00F43EB2">
        <w:rPr>
          <w:rFonts w:ascii="Times New Roman" w:hAnsi="Times New Roman" w:cs="Times New Roman"/>
          <w:i/>
          <w:iCs/>
          <w:sz w:val="24"/>
          <w:szCs w:val="24"/>
        </w:rPr>
        <w:t>et seq.</w:t>
      </w:r>
      <w:r w:rsidRPr="00F43EB2">
        <w:rPr>
          <w:rFonts w:ascii="Times New Roman" w:hAnsi="Times New Roman" w:cs="Times New Roman"/>
          <w:sz w:val="24"/>
          <w:szCs w:val="24"/>
        </w:rPr>
        <w:t xml:space="preserve"> The ADA was first enacted in 1990 and became effective July 26, 1992. The ADA Amendments Act of 2008 (ADAA) became effective January 1, 2009. The ADAA reflected Congress’ view that the Supreme Court had interpreted the ADA in an unduly narrow fashion in </w:t>
      </w:r>
      <w:r w:rsidRPr="00F43EB2">
        <w:rPr>
          <w:rFonts w:ascii="Times New Roman" w:hAnsi="Times New Roman" w:cs="Times New Roman"/>
          <w:i/>
          <w:iCs/>
          <w:sz w:val="24"/>
          <w:szCs w:val="24"/>
        </w:rPr>
        <w:t>Toyota Motor Manufacturing v. Williams</w:t>
      </w:r>
      <w:r w:rsidRPr="00F43EB2">
        <w:rPr>
          <w:rFonts w:ascii="Times New Roman" w:hAnsi="Times New Roman" w:cs="Times New Roman"/>
          <w:sz w:val="24"/>
          <w:szCs w:val="24"/>
        </w:rPr>
        <w:t xml:space="preserve">, 534 U.S. 184 (2002), and </w:t>
      </w:r>
      <w:r w:rsidRPr="00F43EB2">
        <w:rPr>
          <w:rFonts w:ascii="Times New Roman" w:hAnsi="Times New Roman" w:cs="Times New Roman"/>
          <w:i/>
          <w:iCs/>
          <w:sz w:val="24"/>
          <w:szCs w:val="24"/>
        </w:rPr>
        <w:t>Sutton v. United Air Lines</w:t>
      </w:r>
      <w:r w:rsidRPr="00F43EB2">
        <w:rPr>
          <w:rFonts w:ascii="Times New Roman" w:hAnsi="Times New Roman" w:cs="Times New Roman"/>
          <w:sz w:val="24"/>
          <w:szCs w:val="24"/>
        </w:rPr>
        <w:t xml:space="preserve">, 527 U.S. 471 (1999). </w:t>
      </w:r>
      <w:r w:rsidRPr="00F43EB2">
        <w:rPr>
          <w:rFonts w:ascii="Times New Roman" w:hAnsi="Times New Roman" w:cs="Times New Roman"/>
          <w:i/>
          <w:iCs/>
          <w:sz w:val="24"/>
          <w:szCs w:val="24"/>
        </w:rPr>
        <w:t>See Weaving v. City of Hillsboro</w:t>
      </w:r>
      <w:r w:rsidRPr="00F43EB2">
        <w:rPr>
          <w:rFonts w:ascii="Times New Roman" w:hAnsi="Times New Roman" w:cs="Times New Roman"/>
          <w:sz w:val="24"/>
          <w:szCs w:val="24"/>
        </w:rPr>
        <w:t xml:space="preserve">, 763 F.3d 1106 (9th Cir. 2014). The jury instructions in this chapter are consistent with the ADAA, which is not retroactive. </w:t>
      </w:r>
      <w:r w:rsidRPr="00F43EB2">
        <w:rPr>
          <w:rFonts w:ascii="Times New Roman" w:hAnsi="Times New Roman" w:cs="Times New Roman"/>
          <w:i/>
          <w:iCs/>
          <w:sz w:val="24"/>
          <w:szCs w:val="24"/>
        </w:rPr>
        <w:t>Becerril v. Pima Cnty. Assessor’s Office</w:t>
      </w:r>
      <w:r w:rsidRPr="00F43EB2">
        <w:rPr>
          <w:rFonts w:ascii="Times New Roman" w:hAnsi="Times New Roman" w:cs="Times New Roman"/>
          <w:sz w:val="24"/>
          <w:szCs w:val="24"/>
        </w:rPr>
        <w:t>, 587 F.3d 1162, 1164 (9th Cir. 2009).</w:t>
      </w:r>
    </w:p>
    <w:p w14:paraId="1D389E39" w14:textId="77777777" w:rsidR="0079408B" w:rsidRPr="00F43EB2" w:rsidRDefault="0079408B" w:rsidP="0079408B">
      <w:pPr>
        <w:autoSpaceDE w:val="0"/>
        <w:autoSpaceDN w:val="0"/>
        <w:adjustRightInd w:val="0"/>
        <w:spacing w:after="0" w:line="240" w:lineRule="auto"/>
        <w:rPr>
          <w:rFonts w:ascii="Times New Roman" w:hAnsi="Times New Roman" w:cs="Times New Roman"/>
          <w:sz w:val="24"/>
          <w:szCs w:val="24"/>
        </w:rPr>
      </w:pPr>
    </w:p>
    <w:p w14:paraId="201AB74B" w14:textId="77777777" w:rsidR="0079408B" w:rsidRPr="00F43EB2" w:rsidRDefault="0079408B" w:rsidP="0079408B">
      <w:pPr>
        <w:autoSpaceDE w:val="0"/>
        <w:autoSpaceDN w:val="0"/>
        <w:adjustRightInd w:val="0"/>
        <w:spacing w:after="0" w:line="240" w:lineRule="auto"/>
        <w:rPr>
          <w:rFonts w:ascii="Times New Roman" w:hAnsi="Times New Roman" w:cs="Times New Roman"/>
          <w:sz w:val="24"/>
          <w:szCs w:val="24"/>
        </w:rPr>
      </w:pPr>
      <w:r w:rsidRPr="00F43EB2">
        <w:rPr>
          <w:rFonts w:ascii="Times New Roman" w:hAnsi="Times New Roman" w:cs="Times New Roman"/>
          <w:sz w:val="24"/>
          <w:szCs w:val="24"/>
        </w:rPr>
        <w:tab/>
        <w:t>The legislative purposes of, and findings for, the ADA are set forth in § 12101 and are very broad. Essentially, the ADA provides a national mandate for the elimination of discrimination against individuals with disabilities in critical areas such as employment, housing, public accommodations, education, and access to public services. § 12101(a)(3), (b).</w:t>
      </w:r>
    </w:p>
    <w:p w14:paraId="3BF66FC5" w14:textId="77777777" w:rsidR="0079408B" w:rsidRPr="00F43EB2" w:rsidRDefault="0079408B" w:rsidP="0079408B">
      <w:pPr>
        <w:autoSpaceDE w:val="0"/>
        <w:autoSpaceDN w:val="0"/>
        <w:adjustRightInd w:val="0"/>
        <w:spacing w:after="0" w:line="240" w:lineRule="auto"/>
        <w:rPr>
          <w:rFonts w:ascii="Times New Roman" w:hAnsi="Times New Roman" w:cs="Times New Roman"/>
          <w:sz w:val="24"/>
          <w:szCs w:val="24"/>
        </w:rPr>
      </w:pPr>
    </w:p>
    <w:p w14:paraId="782AA2E4" w14:textId="77777777" w:rsidR="0079408B" w:rsidRPr="00F43EB2" w:rsidRDefault="0079408B" w:rsidP="0079408B">
      <w:pPr>
        <w:autoSpaceDE w:val="0"/>
        <w:autoSpaceDN w:val="0"/>
        <w:adjustRightInd w:val="0"/>
        <w:spacing w:after="0" w:line="240" w:lineRule="auto"/>
        <w:rPr>
          <w:rFonts w:ascii="Times New Roman" w:hAnsi="Times New Roman" w:cs="Times New Roman"/>
          <w:sz w:val="24"/>
          <w:szCs w:val="24"/>
        </w:rPr>
      </w:pPr>
      <w:r w:rsidRPr="00F43EB2">
        <w:rPr>
          <w:rFonts w:ascii="Times New Roman" w:hAnsi="Times New Roman" w:cs="Times New Roman"/>
          <w:sz w:val="24"/>
          <w:szCs w:val="24"/>
        </w:rPr>
        <w:tab/>
        <w:t xml:space="preserve">As the Supreme Court has observed, “[t]o effectuate its sweeping purpose, the ADA forbids discrimination against disabled individuals in major areas of public life, among them employment (Title I of the Act) [42 U.S.C. §§ 12111–12117], public services (Title II) [§§ 12131–12165], and public accommodations (Title III) [§§ 12181–12189].” </w:t>
      </w:r>
      <w:r w:rsidRPr="00F43EB2">
        <w:rPr>
          <w:rFonts w:ascii="Times New Roman" w:hAnsi="Times New Roman" w:cs="Times New Roman"/>
          <w:i/>
          <w:iCs/>
          <w:sz w:val="24"/>
          <w:szCs w:val="24"/>
        </w:rPr>
        <w:t>PGA Tour, Inc. v. Martin</w:t>
      </w:r>
      <w:r w:rsidRPr="00F43EB2">
        <w:rPr>
          <w:rFonts w:ascii="Times New Roman" w:hAnsi="Times New Roman" w:cs="Times New Roman"/>
          <w:sz w:val="24"/>
          <w:szCs w:val="24"/>
        </w:rPr>
        <w:t xml:space="preserve">, 432 U.S. 661, 675 (2001). Title I protects only employees of employers with 15 or more employees. 42 U.S.C. § 12111(5)(A); </w:t>
      </w:r>
      <w:r w:rsidRPr="00F43EB2">
        <w:rPr>
          <w:rFonts w:ascii="Times New Roman" w:hAnsi="Times New Roman" w:cs="Times New Roman"/>
          <w:i/>
          <w:iCs/>
          <w:sz w:val="24"/>
          <w:szCs w:val="24"/>
        </w:rPr>
        <w:t>Clackamas Gastroenterology Assocs. v. Wells</w:t>
      </w:r>
      <w:r w:rsidRPr="00F43EB2">
        <w:rPr>
          <w:rFonts w:ascii="Times New Roman" w:hAnsi="Times New Roman" w:cs="Times New Roman"/>
          <w:sz w:val="24"/>
          <w:szCs w:val="24"/>
        </w:rPr>
        <w:t xml:space="preserve">, 538 U.S. 440, 444-51 (2003) (defining “employee”); </w:t>
      </w:r>
      <w:r w:rsidRPr="00F43EB2">
        <w:rPr>
          <w:rFonts w:ascii="Times New Roman" w:hAnsi="Times New Roman" w:cs="Times New Roman"/>
          <w:i/>
          <w:iCs/>
          <w:sz w:val="24"/>
          <w:szCs w:val="24"/>
        </w:rPr>
        <w:t>Castle v. Eurofresh</w:t>
      </w:r>
      <w:r w:rsidRPr="00F43EB2">
        <w:rPr>
          <w:rFonts w:ascii="Times New Roman" w:hAnsi="Times New Roman" w:cs="Times New Roman"/>
          <w:sz w:val="24"/>
          <w:szCs w:val="24"/>
        </w:rPr>
        <w:t>, 731 F.3d 901 (9th Cir. 2013) (analyzing whether prisoner can be deemed “employee”).</w:t>
      </w:r>
    </w:p>
    <w:p w14:paraId="16B80C3A" w14:textId="77777777" w:rsidR="0079408B" w:rsidRPr="00F43EB2" w:rsidRDefault="0079408B" w:rsidP="0079408B">
      <w:pPr>
        <w:autoSpaceDE w:val="0"/>
        <w:autoSpaceDN w:val="0"/>
        <w:adjustRightInd w:val="0"/>
        <w:spacing w:after="0" w:line="240" w:lineRule="auto"/>
        <w:rPr>
          <w:rFonts w:ascii="Times New Roman" w:hAnsi="Times New Roman" w:cs="Times New Roman"/>
          <w:sz w:val="24"/>
          <w:szCs w:val="24"/>
        </w:rPr>
      </w:pPr>
    </w:p>
    <w:p w14:paraId="2DB9C93D" w14:textId="77777777" w:rsidR="0079408B" w:rsidRPr="00F43EB2" w:rsidRDefault="0079408B" w:rsidP="0079408B">
      <w:pPr>
        <w:autoSpaceDE w:val="0"/>
        <w:autoSpaceDN w:val="0"/>
        <w:adjustRightInd w:val="0"/>
        <w:spacing w:after="0" w:line="240" w:lineRule="auto"/>
        <w:rPr>
          <w:rFonts w:ascii="Times New Roman" w:hAnsi="Times New Roman" w:cs="Times New Roman"/>
          <w:sz w:val="24"/>
          <w:szCs w:val="24"/>
        </w:rPr>
      </w:pPr>
      <w:r w:rsidRPr="00F43EB2">
        <w:rPr>
          <w:rFonts w:ascii="Times New Roman" w:hAnsi="Times New Roman" w:cs="Times New Roman"/>
          <w:sz w:val="24"/>
          <w:szCs w:val="24"/>
        </w:rPr>
        <w:tab/>
        <w:t>Under the ADA, a “disability” is defined as: (A) a physical or mental impairment that substantially limits one or more of the major life activities of such individual; (B) a record of such an impairment; or (C) being regarded as having such an impairment. 42 U.S.C. §12102(2).</w:t>
      </w:r>
    </w:p>
    <w:p w14:paraId="4B69FD87" w14:textId="77777777" w:rsidR="0079408B" w:rsidRPr="00F43EB2" w:rsidRDefault="0079408B" w:rsidP="0079408B">
      <w:pPr>
        <w:autoSpaceDE w:val="0"/>
        <w:autoSpaceDN w:val="0"/>
        <w:adjustRightInd w:val="0"/>
        <w:spacing w:after="0" w:line="240" w:lineRule="auto"/>
        <w:rPr>
          <w:rFonts w:ascii="Times New Roman" w:hAnsi="Times New Roman" w:cs="Times New Roman"/>
          <w:sz w:val="24"/>
          <w:szCs w:val="24"/>
        </w:rPr>
      </w:pPr>
    </w:p>
    <w:p w14:paraId="3C30121D" w14:textId="77777777" w:rsidR="0079408B" w:rsidRPr="00F43EB2" w:rsidRDefault="0079408B" w:rsidP="0079408B">
      <w:pPr>
        <w:autoSpaceDE w:val="0"/>
        <w:autoSpaceDN w:val="0"/>
        <w:adjustRightInd w:val="0"/>
        <w:spacing w:after="0" w:line="240" w:lineRule="auto"/>
        <w:rPr>
          <w:rFonts w:ascii="Times New Roman" w:hAnsi="Times New Roman" w:cs="Times New Roman"/>
          <w:sz w:val="24"/>
          <w:szCs w:val="24"/>
        </w:rPr>
      </w:pPr>
      <w:r w:rsidRPr="00F43EB2">
        <w:rPr>
          <w:rFonts w:ascii="Times New Roman" w:hAnsi="Times New Roman" w:cs="Times New Roman"/>
          <w:sz w:val="24"/>
          <w:szCs w:val="24"/>
        </w:rPr>
        <w:tab/>
        <w:t xml:space="preserve">Because a substantial majority of the reported Supreme Court and Ninth Circuit decisions arise under the employment provisions of the ADA, these instructions focus on employment claims under the ADA. In the employment context, a qualified individual with a disability may show an ADA discrimination primarily in either of two ways: by presenting evidence of disparate treatment or by showing a failure to accommodate. </w:t>
      </w:r>
      <w:r w:rsidRPr="00F43EB2">
        <w:rPr>
          <w:rFonts w:ascii="Times New Roman" w:hAnsi="Times New Roman" w:cs="Times New Roman"/>
          <w:i/>
          <w:iCs/>
          <w:sz w:val="24"/>
          <w:szCs w:val="24"/>
        </w:rPr>
        <w:t>Dunlap v. Liberty Natural Prods., Inc</w:t>
      </w:r>
      <w:r w:rsidRPr="00F43EB2">
        <w:rPr>
          <w:rFonts w:ascii="Times New Roman" w:hAnsi="Times New Roman" w:cs="Times New Roman"/>
          <w:sz w:val="24"/>
          <w:szCs w:val="24"/>
        </w:rPr>
        <w:t xml:space="preserve">., 878 F.3d 794, 798 (9th Cir. 2017) (“We have recognized that a failure-to-accommodate claim is ‘analytically distinct from a claim of disparate treatment or impact under the ADA.’”) (quoting </w:t>
      </w:r>
      <w:r w:rsidRPr="00F43EB2">
        <w:rPr>
          <w:rFonts w:ascii="Times New Roman" w:hAnsi="Times New Roman" w:cs="Times New Roman"/>
          <w:i/>
          <w:iCs/>
          <w:sz w:val="24"/>
          <w:szCs w:val="24"/>
        </w:rPr>
        <w:t>Johnson v. Bd. of Trustees of Boundary Cty. Sch. Dist</w:t>
      </w:r>
      <w:r w:rsidRPr="00F43EB2">
        <w:rPr>
          <w:rFonts w:ascii="Times New Roman" w:hAnsi="Times New Roman" w:cs="Times New Roman"/>
          <w:sz w:val="24"/>
          <w:szCs w:val="24"/>
        </w:rPr>
        <w:t>., 666 F.3d 561, 567 (9th Cir. 2011)).</w:t>
      </w:r>
    </w:p>
    <w:p w14:paraId="1B33B5DC" w14:textId="77777777" w:rsidR="0079408B" w:rsidRPr="00F43EB2" w:rsidRDefault="0079408B" w:rsidP="0079408B">
      <w:pPr>
        <w:autoSpaceDE w:val="0"/>
        <w:autoSpaceDN w:val="0"/>
        <w:adjustRightInd w:val="0"/>
        <w:spacing w:after="0" w:line="240" w:lineRule="auto"/>
        <w:rPr>
          <w:rFonts w:ascii="Times New Roman" w:hAnsi="Times New Roman" w:cs="Times New Roman"/>
          <w:sz w:val="24"/>
          <w:szCs w:val="24"/>
        </w:rPr>
      </w:pPr>
    </w:p>
    <w:p w14:paraId="29D46BCD" w14:textId="77777777" w:rsidR="0079408B" w:rsidRPr="00F43EB2" w:rsidRDefault="0079408B" w:rsidP="0079408B">
      <w:pPr>
        <w:autoSpaceDE w:val="0"/>
        <w:autoSpaceDN w:val="0"/>
        <w:adjustRightInd w:val="0"/>
        <w:spacing w:after="0" w:line="240" w:lineRule="auto"/>
        <w:rPr>
          <w:rFonts w:ascii="Times New Roman" w:hAnsi="Times New Roman" w:cs="Times New Roman"/>
          <w:sz w:val="24"/>
          <w:szCs w:val="24"/>
        </w:rPr>
      </w:pPr>
      <w:r w:rsidRPr="00F43EB2">
        <w:rPr>
          <w:rFonts w:ascii="Times New Roman" w:hAnsi="Times New Roman" w:cs="Times New Roman"/>
          <w:sz w:val="24"/>
          <w:szCs w:val="24"/>
        </w:rPr>
        <w:tab/>
        <w:t xml:space="preserve">“Both disparate-treatment and disparate-impact claims are cognizable under the ADA.” </w:t>
      </w:r>
      <w:r w:rsidRPr="00F43EB2">
        <w:rPr>
          <w:rFonts w:ascii="Times New Roman" w:hAnsi="Times New Roman" w:cs="Times New Roman"/>
          <w:i/>
          <w:iCs/>
          <w:sz w:val="24"/>
          <w:szCs w:val="24"/>
        </w:rPr>
        <w:t>Raytheon Co. v. Hernandez</w:t>
      </w:r>
      <w:r w:rsidRPr="00F43EB2">
        <w:rPr>
          <w:rFonts w:ascii="Times New Roman" w:hAnsi="Times New Roman" w:cs="Times New Roman"/>
          <w:sz w:val="24"/>
          <w:szCs w:val="24"/>
        </w:rPr>
        <w:t xml:space="preserve">, 540 U.S. 44, 53 (2003); </w:t>
      </w:r>
      <w:r w:rsidRPr="00F43EB2">
        <w:rPr>
          <w:rFonts w:ascii="Times New Roman" w:hAnsi="Times New Roman" w:cs="Times New Roman"/>
          <w:i/>
          <w:iCs/>
          <w:sz w:val="24"/>
          <w:szCs w:val="24"/>
        </w:rPr>
        <w:t>Lopez v. Pacific Maritime Ass’n</w:t>
      </w:r>
      <w:r w:rsidRPr="00F43EB2">
        <w:rPr>
          <w:rFonts w:ascii="Times New Roman" w:hAnsi="Times New Roman" w:cs="Times New Roman"/>
          <w:sz w:val="24"/>
          <w:szCs w:val="24"/>
        </w:rPr>
        <w:t xml:space="preserve">, 657 F.3d 762, 767 (9th Cir. 2011) (leaving open the question of how § 12112(b)(6) applies to a disparate impact claim). For a case involving a pre-employment claim under the ADA, </w:t>
      </w:r>
      <w:r w:rsidRPr="00F43EB2">
        <w:rPr>
          <w:rFonts w:ascii="Times New Roman" w:hAnsi="Times New Roman" w:cs="Times New Roman"/>
          <w:i/>
          <w:iCs/>
          <w:sz w:val="24"/>
          <w:szCs w:val="24"/>
        </w:rPr>
        <w:t>see E.E.O.C. v. BNSF Rwy. Co.</w:t>
      </w:r>
      <w:r w:rsidRPr="00F43EB2">
        <w:rPr>
          <w:rFonts w:ascii="Times New Roman" w:hAnsi="Times New Roman" w:cs="Times New Roman"/>
          <w:sz w:val="24"/>
          <w:szCs w:val="24"/>
        </w:rPr>
        <w:t xml:space="preserve">, 902 F.3d 916 (9th Cir. 2018). </w:t>
      </w:r>
    </w:p>
    <w:p w14:paraId="553857C3" w14:textId="77777777" w:rsidR="0079408B" w:rsidRPr="00F43EB2" w:rsidRDefault="0079408B" w:rsidP="0079408B">
      <w:pPr>
        <w:autoSpaceDE w:val="0"/>
        <w:autoSpaceDN w:val="0"/>
        <w:adjustRightInd w:val="0"/>
        <w:spacing w:after="0" w:line="240" w:lineRule="auto"/>
        <w:rPr>
          <w:rFonts w:ascii="Times New Roman" w:hAnsi="Times New Roman" w:cs="Times New Roman"/>
          <w:sz w:val="24"/>
          <w:szCs w:val="24"/>
        </w:rPr>
      </w:pPr>
    </w:p>
    <w:p w14:paraId="6D8BA7D5" w14:textId="7812EA22" w:rsidR="0079408B" w:rsidRPr="00F43EB2" w:rsidRDefault="0079408B" w:rsidP="002664C5">
      <w:pPr>
        <w:autoSpaceDE w:val="0"/>
        <w:autoSpaceDN w:val="0"/>
        <w:adjustRightInd w:val="0"/>
        <w:spacing w:after="0" w:line="240" w:lineRule="auto"/>
        <w:rPr>
          <w:rFonts w:ascii="Times New Roman" w:hAnsi="Times New Roman" w:cs="Times New Roman"/>
          <w:sz w:val="24"/>
          <w:szCs w:val="24"/>
        </w:rPr>
      </w:pPr>
      <w:r w:rsidRPr="00F43EB2">
        <w:rPr>
          <w:rFonts w:ascii="Times New Roman" w:hAnsi="Times New Roman" w:cs="Times New Roman"/>
          <w:sz w:val="24"/>
          <w:szCs w:val="24"/>
        </w:rPr>
        <w:lastRenderedPageBreak/>
        <w:tab/>
      </w:r>
      <w:r w:rsidR="002664C5" w:rsidRPr="002664C5">
        <w:rPr>
          <w:rFonts w:ascii="Times New Roman" w:hAnsi="Times New Roman" w:cs="Times New Roman"/>
          <w:sz w:val="24"/>
          <w:szCs w:val="24"/>
        </w:rPr>
        <w:t xml:space="preserve">In </w:t>
      </w:r>
      <w:r w:rsidR="002664C5" w:rsidRPr="002664C5">
        <w:rPr>
          <w:rFonts w:ascii="Times New Roman" w:hAnsi="Times New Roman" w:cs="Times New Roman"/>
          <w:i/>
          <w:iCs/>
          <w:sz w:val="24"/>
          <w:szCs w:val="24"/>
        </w:rPr>
        <w:t>Mattioda v. Nelson</w:t>
      </w:r>
      <w:r w:rsidR="002664C5" w:rsidRPr="002664C5">
        <w:rPr>
          <w:rFonts w:ascii="Times New Roman" w:hAnsi="Times New Roman" w:cs="Times New Roman"/>
          <w:sz w:val="24"/>
          <w:szCs w:val="24"/>
        </w:rPr>
        <w:t>, 98 F. 4th 1164, 1174 (9th Cir. 2024), the Ninth</w:t>
      </w:r>
      <w:r w:rsidR="002664C5">
        <w:rPr>
          <w:rFonts w:ascii="Times New Roman" w:hAnsi="Times New Roman" w:cs="Times New Roman"/>
          <w:sz w:val="24"/>
          <w:szCs w:val="24"/>
        </w:rPr>
        <w:t xml:space="preserve"> </w:t>
      </w:r>
      <w:r w:rsidR="002664C5" w:rsidRPr="002664C5">
        <w:rPr>
          <w:rFonts w:ascii="Times New Roman" w:hAnsi="Times New Roman" w:cs="Times New Roman"/>
          <w:sz w:val="24"/>
          <w:szCs w:val="24"/>
        </w:rPr>
        <w:t>Circuit held that disability-based claims for hostile work environment</w:t>
      </w:r>
      <w:r w:rsidR="002664C5">
        <w:rPr>
          <w:rFonts w:ascii="Times New Roman" w:hAnsi="Times New Roman" w:cs="Times New Roman"/>
          <w:sz w:val="24"/>
          <w:szCs w:val="24"/>
        </w:rPr>
        <w:t xml:space="preserve"> </w:t>
      </w:r>
      <w:r w:rsidR="002664C5" w:rsidRPr="002664C5">
        <w:rPr>
          <w:rFonts w:ascii="Times New Roman" w:hAnsi="Times New Roman" w:cs="Times New Roman"/>
          <w:sz w:val="24"/>
          <w:szCs w:val="24"/>
        </w:rPr>
        <w:t>are actionable under the ADA, joining all other circuits that have</w:t>
      </w:r>
      <w:r w:rsidR="002664C5">
        <w:rPr>
          <w:rFonts w:ascii="Times New Roman" w:hAnsi="Times New Roman" w:cs="Times New Roman"/>
          <w:sz w:val="24"/>
          <w:szCs w:val="24"/>
        </w:rPr>
        <w:t xml:space="preserve"> </w:t>
      </w:r>
      <w:r w:rsidR="002664C5" w:rsidRPr="002664C5">
        <w:rPr>
          <w:rFonts w:ascii="Times New Roman" w:hAnsi="Times New Roman" w:cs="Times New Roman"/>
          <w:sz w:val="24"/>
          <w:szCs w:val="24"/>
        </w:rPr>
        <w:t>addressed the issue.</w:t>
      </w:r>
      <w:r w:rsidR="002664C5" w:rsidRPr="002664C5" w:rsidDel="002664C5">
        <w:rPr>
          <w:rFonts w:ascii="Times New Roman" w:hAnsi="Times New Roman" w:cs="Times New Roman"/>
          <w:sz w:val="24"/>
          <w:szCs w:val="24"/>
        </w:rPr>
        <w:t xml:space="preserve"> </w:t>
      </w:r>
    </w:p>
    <w:p w14:paraId="21B287F9" w14:textId="77777777" w:rsidR="0079408B" w:rsidRPr="00F43EB2" w:rsidRDefault="0079408B" w:rsidP="0079408B">
      <w:pPr>
        <w:autoSpaceDE w:val="0"/>
        <w:autoSpaceDN w:val="0"/>
        <w:adjustRightInd w:val="0"/>
        <w:spacing w:after="0" w:line="240" w:lineRule="auto"/>
        <w:rPr>
          <w:rFonts w:ascii="Times New Roman" w:hAnsi="Times New Roman" w:cs="Times New Roman"/>
          <w:sz w:val="24"/>
          <w:szCs w:val="24"/>
        </w:rPr>
      </w:pPr>
    </w:p>
    <w:p w14:paraId="59171D05" w14:textId="0DBBA249" w:rsidR="0079408B" w:rsidRDefault="0079408B" w:rsidP="0079408B">
      <w:pPr>
        <w:autoSpaceDE w:val="0"/>
        <w:autoSpaceDN w:val="0"/>
        <w:adjustRightInd w:val="0"/>
        <w:spacing w:after="0" w:line="240" w:lineRule="auto"/>
        <w:rPr>
          <w:rFonts w:ascii="Times New Roman" w:hAnsi="Times New Roman" w:cs="Times New Roman"/>
          <w:sz w:val="24"/>
          <w:szCs w:val="24"/>
        </w:rPr>
      </w:pPr>
      <w:r w:rsidRPr="00F43EB2">
        <w:rPr>
          <w:rFonts w:ascii="Times New Roman" w:hAnsi="Times New Roman" w:cs="Times New Roman"/>
          <w:sz w:val="24"/>
          <w:szCs w:val="24"/>
        </w:rPr>
        <w:tab/>
        <w:t xml:space="preserve">In </w:t>
      </w:r>
      <w:r w:rsidRPr="00F43EB2">
        <w:rPr>
          <w:rFonts w:ascii="Times New Roman" w:hAnsi="Times New Roman" w:cs="Times New Roman"/>
          <w:i/>
          <w:iCs/>
          <w:sz w:val="24"/>
          <w:szCs w:val="24"/>
        </w:rPr>
        <w:t>Chevron U.S.A., Inc. v. Echazabal</w:t>
      </w:r>
      <w:r w:rsidRPr="00F43EB2">
        <w:rPr>
          <w:rFonts w:ascii="Times New Roman" w:hAnsi="Times New Roman" w:cs="Times New Roman"/>
          <w:sz w:val="24"/>
          <w:szCs w:val="24"/>
        </w:rPr>
        <w:t xml:space="preserve">, 536 U.S. 73 (2002), the Supreme Court expanded the business necessity defense based on EEOC regulations. </w:t>
      </w:r>
      <w:r w:rsidRPr="00F43EB2">
        <w:rPr>
          <w:rFonts w:ascii="Times New Roman" w:hAnsi="Times New Roman" w:cs="Times New Roman"/>
          <w:i/>
          <w:iCs/>
          <w:sz w:val="24"/>
          <w:szCs w:val="24"/>
        </w:rPr>
        <w:t>Chevron</w:t>
      </w:r>
      <w:r w:rsidRPr="00F43EB2">
        <w:rPr>
          <w:rFonts w:ascii="Times New Roman" w:hAnsi="Times New Roman" w:cs="Times New Roman"/>
          <w:sz w:val="24"/>
          <w:szCs w:val="24"/>
        </w:rPr>
        <w:t xml:space="preserve"> involved the propriety of a worker with a liver condition being laid off by his employer due to the unavoidable exposure to toxins at a refinery creating health risks for the worker. There exists under the ADA, 42 U.S.C. §§ 12112(b)(6), 12113(a), an affirmative defense for an employment action under a qualification standard “shown to be job-related and consistent with business necessity,” which “may include a requirement that an individual should not pose a direct threat to the health or safety of other individuals in the workplace.” The unanimous opinion in </w:t>
      </w:r>
      <w:r w:rsidRPr="00F43EB2">
        <w:rPr>
          <w:rFonts w:ascii="Times New Roman" w:hAnsi="Times New Roman" w:cs="Times New Roman"/>
          <w:i/>
          <w:iCs/>
          <w:sz w:val="24"/>
          <w:szCs w:val="24"/>
        </w:rPr>
        <w:t>Chevron</w:t>
      </w:r>
      <w:r w:rsidRPr="00F43EB2">
        <w:rPr>
          <w:rFonts w:ascii="Times New Roman" w:hAnsi="Times New Roman" w:cs="Times New Roman"/>
          <w:sz w:val="24"/>
          <w:szCs w:val="24"/>
        </w:rPr>
        <w:t xml:space="preserve"> held that it was reasonable for the EEOC, through the enactment of a regulation (29 C.F.R. § 1630.15(b)(2) (2001)) to carry “the defense one step further, in allowing an employer to screen out a potential worker with a disability not only for risks that he would pose to others in the workplace but for risks on the job to his own health or safety as well . . . .”  </w:t>
      </w:r>
      <w:r w:rsidRPr="00F43EB2">
        <w:rPr>
          <w:rFonts w:ascii="Times New Roman" w:hAnsi="Times New Roman" w:cs="Times New Roman"/>
          <w:i/>
          <w:iCs/>
          <w:sz w:val="24"/>
          <w:szCs w:val="24"/>
        </w:rPr>
        <w:t>Id</w:t>
      </w:r>
      <w:r w:rsidRPr="00F43EB2">
        <w:rPr>
          <w:rFonts w:ascii="Times New Roman" w:hAnsi="Times New Roman" w:cs="Times New Roman"/>
          <w:sz w:val="24"/>
          <w:szCs w:val="24"/>
        </w:rPr>
        <w:t>. at 78-79, 86-87;</w:t>
      </w:r>
      <w:r w:rsidRPr="00F43EB2">
        <w:rPr>
          <w:rFonts w:ascii="Times New Roman" w:hAnsi="Times New Roman" w:cs="Times New Roman"/>
          <w:i/>
          <w:iCs/>
          <w:sz w:val="24"/>
          <w:szCs w:val="24"/>
        </w:rPr>
        <w:t xml:space="preserve"> Hutton v. Elf Atochem North America, Inc.,</w:t>
      </w:r>
      <w:r w:rsidRPr="00F43EB2">
        <w:rPr>
          <w:rFonts w:ascii="Times New Roman" w:hAnsi="Times New Roman" w:cs="Times New Roman"/>
          <w:sz w:val="24"/>
          <w:szCs w:val="24"/>
        </w:rPr>
        <w:t xml:space="preserve"> 273 F.3d 884, 892-94 (9th Cir. 2001) (applying “direct threat” affirmative defense factors in EEOC regulations to the analysis of qualification standards).</w:t>
      </w:r>
    </w:p>
    <w:p w14:paraId="1112F6FA" w14:textId="77777777" w:rsidR="008B53AF" w:rsidRDefault="008B53AF" w:rsidP="0079408B">
      <w:pPr>
        <w:autoSpaceDE w:val="0"/>
        <w:autoSpaceDN w:val="0"/>
        <w:adjustRightInd w:val="0"/>
        <w:spacing w:after="0" w:line="240" w:lineRule="auto"/>
        <w:rPr>
          <w:rFonts w:ascii="Times New Roman" w:hAnsi="Times New Roman" w:cs="Times New Roman"/>
          <w:sz w:val="24"/>
          <w:szCs w:val="24"/>
        </w:rPr>
      </w:pPr>
    </w:p>
    <w:p w14:paraId="1F1A656D" w14:textId="76FBC503" w:rsidR="008B53AF" w:rsidRDefault="008B53AF" w:rsidP="008B53AF">
      <w:pPr>
        <w:autoSpaceDE w:val="0"/>
        <w:autoSpaceDN w:val="0"/>
        <w:adjustRightInd w:val="0"/>
        <w:spacing w:after="0" w:line="240" w:lineRule="auto"/>
        <w:ind w:firstLine="720"/>
        <w:rPr>
          <w:rFonts w:ascii="Times New Roman" w:hAnsi="Times New Roman" w:cs="Times New Roman"/>
          <w:sz w:val="24"/>
          <w:szCs w:val="24"/>
        </w:rPr>
      </w:pPr>
      <w:r w:rsidRPr="008B53AF">
        <w:rPr>
          <w:rFonts w:ascii="Times New Roman" w:hAnsi="Times New Roman" w:cs="Times New Roman"/>
          <w:sz w:val="24"/>
          <w:szCs w:val="24"/>
        </w:rPr>
        <w:t xml:space="preserve">In </w:t>
      </w:r>
      <w:r w:rsidRPr="008B53AF">
        <w:rPr>
          <w:rFonts w:ascii="Times New Roman" w:hAnsi="Times New Roman" w:cs="Times New Roman"/>
          <w:i/>
          <w:iCs/>
          <w:sz w:val="24"/>
          <w:szCs w:val="24"/>
        </w:rPr>
        <w:t>Board of Trustees of the University of Alabama v. Garrett,</w:t>
      </w:r>
      <w:r w:rsidRPr="008B53AF">
        <w:rPr>
          <w:rFonts w:ascii="Times New Roman" w:hAnsi="Times New Roman" w:cs="Times New Roman"/>
          <w:sz w:val="24"/>
          <w:szCs w:val="24"/>
        </w:rPr>
        <w:t xml:space="preserve"> 531 U.S. 356 , 368 (2001), the Supreme Court held that the Eleventh Amendment barred claims for money damages against a State under Title I of the ADA, which addresses disability discrimination in employment.  And in </w:t>
      </w:r>
      <w:r w:rsidRPr="008B53AF">
        <w:rPr>
          <w:rFonts w:ascii="Times New Roman" w:hAnsi="Times New Roman" w:cs="Times New Roman"/>
          <w:i/>
          <w:iCs/>
          <w:sz w:val="24"/>
          <w:szCs w:val="24"/>
        </w:rPr>
        <w:t>United States v. Georgia</w:t>
      </w:r>
      <w:r w:rsidRPr="008B53AF">
        <w:rPr>
          <w:rFonts w:ascii="Times New Roman" w:hAnsi="Times New Roman" w:cs="Times New Roman"/>
          <w:sz w:val="24"/>
          <w:szCs w:val="24"/>
        </w:rPr>
        <w:t xml:space="preserve">, 546 U.S. 151 (2006), the Court articulated a three-part inquiry for courts to apply to determine whether sovereign immunity has been abrogated as to claims against States under Title II of the ADA, which addresses disability discrimination as to services, programs, or activities of a public entity. </w:t>
      </w:r>
    </w:p>
    <w:p w14:paraId="45118567" w14:textId="77777777" w:rsidR="00405254" w:rsidRDefault="00405254" w:rsidP="008B53AF">
      <w:pPr>
        <w:autoSpaceDE w:val="0"/>
        <w:autoSpaceDN w:val="0"/>
        <w:adjustRightInd w:val="0"/>
        <w:spacing w:after="0" w:line="240" w:lineRule="auto"/>
        <w:ind w:firstLine="720"/>
        <w:rPr>
          <w:rFonts w:ascii="Times New Roman" w:hAnsi="Times New Roman" w:cs="Times New Roman"/>
          <w:sz w:val="24"/>
          <w:szCs w:val="24"/>
        </w:rPr>
      </w:pPr>
    </w:p>
    <w:p w14:paraId="24D247D4" w14:textId="5B991260" w:rsidR="00405254" w:rsidRPr="008C6434" w:rsidRDefault="00405254" w:rsidP="00405254">
      <w:pPr>
        <w:autoSpaceDE w:val="0"/>
        <w:autoSpaceDN w:val="0"/>
        <w:adjustRightInd w:val="0"/>
        <w:spacing w:after="0" w:line="240" w:lineRule="auto"/>
        <w:ind w:firstLine="720"/>
        <w:rPr>
          <w:rFonts w:ascii="Times New Roman" w:hAnsi="Times New Roman" w:cs="Times New Roman"/>
          <w:sz w:val="24"/>
          <w:szCs w:val="24"/>
        </w:rPr>
      </w:pPr>
      <w:r w:rsidRPr="008C6434">
        <w:rPr>
          <w:rFonts w:ascii="Times New Roman" w:hAnsi="Times New Roman" w:cs="Times New Roman"/>
          <w:sz w:val="24"/>
          <w:szCs w:val="24"/>
        </w:rPr>
        <w:t xml:space="preserve">The First Amendment’s religion clauses give rise to an affirmative defense that “bar[s] the government from interfering with the decision of a religious group to fire one of its ministers.” </w:t>
      </w:r>
      <w:r w:rsidRPr="008C6434">
        <w:rPr>
          <w:rFonts w:ascii="Times New Roman" w:hAnsi="Times New Roman" w:cs="Times New Roman"/>
          <w:i/>
          <w:iCs/>
          <w:sz w:val="24"/>
          <w:szCs w:val="24"/>
        </w:rPr>
        <w:t>Hosanna-Tabor Evangelical Lutheran Church &amp; Sch. v. EEOC</w:t>
      </w:r>
      <w:r w:rsidRPr="008C6434">
        <w:rPr>
          <w:rFonts w:ascii="Times New Roman" w:hAnsi="Times New Roman" w:cs="Times New Roman"/>
          <w:sz w:val="24"/>
          <w:szCs w:val="24"/>
        </w:rPr>
        <w:t xml:space="preserve">, 565 U.S. 171, 181, 195 n.4 (2012) (applying this defense to an ADA retaliation claim); </w:t>
      </w:r>
      <w:r w:rsidRPr="008C6434">
        <w:rPr>
          <w:rFonts w:ascii="Times New Roman" w:hAnsi="Times New Roman" w:cs="Times New Roman"/>
          <w:i/>
          <w:iCs/>
          <w:sz w:val="24"/>
          <w:szCs w:val="24"/>
        </w:rPr>
        <w:t>see also Our Lady of Guadalupe Sch. v. Morrissey-Berru</w:t>
      </w:r>
      <w:r w:rsidRPr="008C6434">
        <w:rPr>
          <w:rFonts w:ascii="Times New Roman" w:hAnsi="Times New Roman" w:cs="Times New Roman"/>
          <w:sz w:val="24"/>
          <w:szCs w:val="24"/>
        </w:rPr>
        <w:t>, 591 U.S. 732, 738, 756 (2020) (foreclosing discrimination claims by employees of religious organizations under the Age Discrimination in Employment Act and ADA).</w:t>
      </w:r>
    </w:p>
    <w:p w14:paraId="66C1202E" w14:textId="77777777" w:rsidR="0079408B" w:rsidRPr="00F43EB2" w:rsidRDefault="0079408B" w:rsidP="0079408B">
      <w:pPr>
        <w:autoSpaceDE w:val="0"/>
        <w:autoSpaceDN w:val="0"/>
        <w:adjustRightInd w:val="0"/>
        <w:spacing w:after="0" w:line="240" w:lineRule="auto"/>
        <w:rPr>
          <w:rFonts w:ascii="Times New Roman" w:hAnsi="Times New Roman" w:cs="Times New Roman"/>
          <w:sz w:val="24"/>
          <w:szCs w:val="24"/>
        </w:rPr>
      </w:pPr>
    </w:p>
    <w:p w14:paraId="19FC7CF9" w14:textId="77777777" w:rsidR="0079408B" w:rsidRPr="00F43EB2" w:rsidRDefault="0079408B" w:rsidP="0079408B">
      <w:pPr>
        <w:autoSpaceDE w:val="0"/>
        <w:autoSpaceDN w:val="0"/>
        <w:adjustRightInd w:val="0"/>
        <w:spacing w:after="0" w:line="240" w:lineRule="auto"/>
        <w:rPr>
          <w:rFonts w:ascii="Times New Roman" w:hAnsi="Times New Roman" w:cs="Times New Roman"/>
          <w:sz w:val="24"/>
          <w:szCs w:val="24"/>
        </w:rPr>
      </w:pPr>
      <w:r w:rsidRPr="00F43EB2">
        <w:rPr>
          <w:rFonts w:ascii="Times New Roman" w:hAnsi="Times New Roman" w:cs="Times New Roman"/>
          <w:sz w:val="24"/>
          <w:szCs w:val="24"/>
        </w:rPr>
        <w:tab/>
        <w:t xml:space="preserve">A plaintiff’s remedies in employment actions under the ADA are generally the same remedies available under Title VII governing employment discrimination. 42 U.S.C. § 12117(a). </w:t>
      </w:r>
      <w:r w:rsidRPr="00F43EB2">
        <w:rPr>
          <w:rFonts w:ascii="Times New Roman" w:hAnsi="Times New Roman" w:cs="Times New Roman"/>
          <w:i/>
          <w:iCs/>
          <w:sz w:val="24"/>
          <w:szCs w:val="24"/>
        </w:rPr>
        <w:t>See</w:t>
      </w:r>
      <w:r w:rsidRPr="00F43EB2">
        <w:rPr>
          <w:rFonts w:ascii="Times New Roman" w:hAnsi="Times New Roman" w:cs="Times New Roman"/>
          <w:sz w:val="24"/>
          <w:szCs w:val="24"/>
        </w:rPr>
        <w:t xml:space="preserve"> Introductory Comment to Chapter 10 (“Civil Rights—Title VII—Employment Discrimination; Harassment; Retaliation”) for a summary of available remedies under Title VII. Compensatory and punitive damages are not available, however, in a retaliation claim under the ADA. </w:t>
      </w:r>
      <w:r w:rsidRPr="00F43EB2">
        <w:rPr>
          <w:rFonts w:ascii="Times New Roman" w:hAnsi="Times New Roman" w:cs="Times New Roman"/>
          <w:i/>
          <w:iCs/>
          <w:sz w:val="24"/>
          <w:szCs w:val="24"/>
        </w:rPr>
        <w:t>Alvarado v. Cajun Operating Co.</w:t>
      </w:r>
      <w:r w:rsidRPr="00F43EB2">
        <w:rPr>
          <w:rFonts w:ascii="Times New Roman" w:hAnsi="Times New Roman" w:cs="Times New Roman"/>
          <w:sz w:val="24"/>
          <w:szCs w:val="24"/>
        </w:rPr>
        <w:t xml:space="preserve">, 588 F.3d 1261, 1270 (9th Cir. 2009) (“Because we conclude that ADA retaliation claims are redressable only by equitable relief, no jury trial is available.”). </w:t>
      </w:r>
    </w:p>
    <w:p w14:paraId="06532464" w14:textId="77777777" w:rsidR="0079408B" w:rsidRPr="00F43EB2" w:rsidRDefault="0079408B" w:rsidP="0079408B">
      <w:pPr>
        <w:autoSpaceDE w:val="0"/>
        <w:autoSpaceDN w:val="0"/>
        <w:adjustRightInd w:val="0"/>
        <w:spacing w:after="0" w:line="240" w:lineRule="auto"/>
        <w:rPr>
          <w:rFonts w:ascii="Times New Roman" w:hAnsi="Times New Roman" w:cs="Times New Roman"/>
          <w:sz w:val="24"/>
          <w:szCs w:val="24"/>
        </w:rPr>
      </w:pPr>
    </w:p>
    <w:p w14:paraId="3EA7D231" w14:textId="77777777" w:rsidR="0079408B" w:rsidRPr="00F43EB2" w:rsidRDefault="0079408B" w:rsidP="0079408B">
      <w:pPr>
        <w:autoSpaceDE w:val="0"/>
        <w:autoSpaceDN w:val="0"/>
        <w:adjustRightInd w:val="0"/>
        <w:spacing w:after="0" w:line="240" w:lineRule="auto"/>
        <w:rPr>
          <w:rFonts w:ascii="Times New Roman" w:hAnsi="Times New Roman" w:cs="Times New Roman"/>
          <w:sz w:val="24"/>
          <w:szCs w:val="24"/>
        </w:rPr>
      </w:pPr>
      <w:r w:rsidRPr="00F43EB2">
        <w:rPr>
          <w:rFonts w:ascii="Times New Roman" w:hAnsi="Times New Roman" w:cs="Times New Roman"/>
          <w:sz w:val="24"/>
          <w:szCs w:val="24"/>
        </w:rPr>
        <w:lastRenderedPageBreak/>
        <w:tab/>
        <w:t>The Committee recommends that Chapter 10 be consulted to instruct a jury on hostile work environment, definition of common terms, constructive discharge, or defenses such as bona fide occupational qualification, bona fide seniority system, or after-acquired evidence.</w:t>
      </w:r>
    </w:p>
    <w:p w14:paraId="47376EAD" w14:textId="77777777" w:rsidR="0079408B" w:rsidRPr="00F43EB2" w:rsidRDefault="0079408B" w:rsidP="0079408B">
      <w:pPr>
        <w:autoSpaceDE w:val="0"/>
        <w:autoSpaceDN w:val="0"/>
        <w:adjustRightInd w:val="0"/>
        <w:spacing w:after="0" w:line="240" w:lineRule="auto"/>
        <w:rPr>
          <w:rFonts w:ascii="Times New Roman" w:hAnsi="Times New Roman" w:cs="Times New Roman"/>
          <w:sz w:val="24"/>
          <w:szCs w:val="24"/>
        </w:rPr>
      </w:pPr>
    </w:p>
    <w:p w14:paraId="641165DE" w14:textId="77777777" w:rsidR="00110212" w:rsidRPr="008011F7" w:rsidRDefault="0079408B" w:rsidP="00110212">
      <w:pPr>
        <w:autoSpaceDE w:val="0"/>
        <w:autoSpaceDN w:val="0"/>
        <w:adjustRightInd w:val="0"/>
        <w:spacing w:after="0" w:line="240" w:lineRule="auto"/>
        <w:rPr>
          <w:rFonts w:ascii="Times New Roman" w:hAnsi="Times New Roman" w:cs="Times New Roman"/>
          <w:i/>
          <w:iCs/>
          <w:sz w:val="24"/>
          <w:szCs w:val="24"/>
        </w:rPr>
      </w:pPr>
      <w:r w:rsidRPr="00F43EB2">
        <w:rPr>
          <w:rFonts w:ascii="Times New Roman" w:hAnsi="Times New Roman" w:cs="Times New Roman"/>
          <w:sz w:val="24"/>
          <w:szCs w:val="24"/>
        </w:rPr>
        <w:tab/>
      </w:r>
      <w:bookmarkStart w:id="1" w:name="_Hlk221523156"/>
      <w:r w:rsidRPr="00F43EB2">
        <w:rPr>
          <w:rFonts w:ascii="Times New Roman" w:hAnsi="Times New Roman" w:cs="Times New Roman"/>
          <w:sz w:val="24"/>
          <w:szCs w:val="24"/>
        </w:rPr>
        <w:t xml:space="preserve">The Committee notes, as stated above, that these instructions focus on employment claims under Title I of the ADA, and not Title III, which addresses public accommodations. In </w:t>
      </w:r>
      <w:r w:rsidRPr="00F43EB2">
        <w:rPr>
          <w:rFonts w:ascii="Times New Roman" w:hAnsi="Times New Roman" w:cs="Times New Roman"/>
          <w:i/>
          <w:iCs/>
          <w:sz w:val="24"/>
          <w:szCs w:val="24"/>
        </w:rPr>
        <w:t>Lopez v. Catalina Channel Express, Inc.</w:t>
      </w:r>
      <w:r w:rsidRPr="00F43EB2">
        <w:rPr>
          <w:rFonts w:ascii="Times New Roman" w:hAnsi="Times New Roman" w:cs="Times New Roman"/>
          <w:sz w:val="24"/>
          <w:szCs w:val="24"/>
        </w:rPr>
        <w:t>, 974 F.3d 1030 (9th Cir. 2020), the Ninth Circuit explained that discrimination under Title III of the ADA specifically includes a failure to remove architectural barriers in existing facilities of public accommodation when such removal is readily achievable. Announcing a new rule of burden-shifting in the Ninth Circuit, the Court stated, “only if the plaintiff first makes a plausible showing that the barrier removal is readily achievable, does the defendant then have to negate that showing and prove that the removal is not readily achievable.”</w:t>
      </w:r>
      <w:r w:rsidRPr="00F43EB2">
        <w:rPr>
          <w:rFonts w:ascii="Times New Roman" w:hAnsi="Times New Roman" w:cs="Times New Roman"/>
          <w:i/>
          <w:iCs/>
          <w:sz w:val="24"/>
          <w:szCs w:val="24"/>
        </w:rPr>
        <w:t xml:space="preserve"> Id. </w:t>
      </w:r>
      <w:r w:rsidRPr="00F43EB2">
        <w:rPr>
          <w:rFonts w:ascii="Times New Roman" w:hAnsi="Times New Roman" w:cs="Times New Roman"/>
          <w:sz w:val="24"/>
          <w:szCs w:val="24"/>
        </w:rPr>
        <w:t xml:space="preserve">at </w:t>
      </w:r>
      <w:r w:rsidRPr="008011F7">
        <w:rPr>
          <w:rFonts w:ascii="Times New Roman" w:hAnsi="Times New Roman" w:cs="Times New Roman"/>
          <w:sz w:val="24"/>
          <w:szCs w:val="24"/>
        </w:rPr>
        <w:t>1036</w:t>
      </w:r>
      <w:r w:rsidR="00110212" w:rsidRPr="008011F7">
        <w:rPr>
          <w:rFonts w:ascii="Times New Roman" w:hAnsi="Times New Roman" w:cs="Times New Roman"/>
          <w:sz w:val="24"/>
          <w:szCs w:val="24"/>
        </w:rPr>
        <w:t xml:space="preserve">; </w:t>
      </w:r>
      <w:r w:rsidR="00110212" w:rsidRPr="008011F7">
        <w:rPr>
          <w:rFonts w:ascii="Times New Roman" w:hAnsi="Times New Roman" w:cs="Times New Roman"/>
          <w:i/>
          <w:iCs/>
          <w:sz w:val="24"/>
          <w:szCs w:val="24"/>
        </w:rPr>
        <w:t>see also Gilbert v. 7-Eleven, Inc.</w:t>
      </w:r>
      <w:r w:rsidR="00110212" w:rsidRPr="008011F7">
        <w:rPr>
          <w:rFonts w:ascii="Times New Roman" w:hAnsi="Times New Roman" w:cs="Times New Roman"/>
          <w:sz w:val="24"/>
          <w:szCs w:val="24"/>
        </w:rPr>
        <w:t>, 157 F.4th 1057, 1062-63</w:t>
      </w:r>
    </w:p>
    <w:p w14:paraId="349DCAA0" w14:textId="497BD701" w:rsidR="0079408B" w:rsidRPr="008011F7" w:rsidRDefault="00110212" w:rsidP="0079408B">
      <w:pPr>
        <w:autoSpaceDE w:val="0"/>
        <w:autoSpaceDN w:val="0"/>
        <w:adjustRightInd w:val="0"/>
        <w:spacing w:after="0" w:line="240" w:lineRule="auto"/>
        <w:rPr>
          <w:rFonts w:ascii="Times New Roman" w:hAnsi="Times New Roman" w:cs="Times New Roman"/>
          <w:sz w:val="24"/>
          <w:szCs w:val="24"/>
        </w:rPr>
      </w:pPr>
      <w:r w:rsidRPr="008011F7">
        <w:rPr>
          <w:rFonts w:ascii="Times New Roman" w:hAnsi="Times New Roman" w:cs="Times New Roman"/>
          <w:sz w:val="24"/>
          <w:szCs w:val="24"/>
        </w:rPr>
        <w:t>(9th Cir. 2025) (reaffirming the burden-shifting rule)</w:t>
      </w:r>
      <w:r w:rsidR="0079408B" w:rsidRPr="008011F7">
        <w:rPr>
          <w:rFonts w:ascii="Times New Roman" w:hAnsi="Times New Roman" w:cs="Times New Roman"/>
          <w:sz w:val="24"/>
          <w:szCs w:val="24"/>
        </w:rPr>
        <w:t xml:space="preserve">. Even if a defendant can demonstrate that the removal of a barrier is not readily achievable, the defendant may still be liable under the ADA if it fails to make its goods, services, facilities, privileges, advantages, or accommodations available through alternative methods so long as such methods are readily achievable. </w:t>
      </w:r>
    </w:p>
    <w:p w14:paraId="2E05F8D1" w14:textId="77777777" w:rsidR="00110212" w:rsidRPr="008011F7" w:rsidRDefault="00110212" w:rsidP="00110212">
      <w:pPr>
        <w:autoSpaceDE w:val="0"/>
        <w:autoSpaceDN w:val="0"/>
        <w:adjustRightInd w:val="0"/>
        <w:spacing w:after="0" w:line="240" w:lineRule="auto"/>
        <w:rPr>
          <w:rFonts w:ascii="Times New Roman" w:hAnsi="Times New Roman" w:cs="Times New Roman"/>
          <w:sz w:val="24"/>
          <w:szCs w:val="24"/>
        </w:rPr>
      </w:pPr>
    </w:p>
    <w:p w14:paraId="36274723" w14:textId="77777777" w:rsidR="00110212" w:rsidRPr="008011F7" w:rsidRDefault="00110212" w:rsidP="00110212">
      <w:pPr>
        <w:autoSpaceDE w:val="0"/>
        <w:autoSpaceDN w:val="0"/>
        <w:adjustRightInd w:val="0"/>
        <w:spacing w:after="0" w:line="240" w:lineRule="auto"/>
        <w:ind w:firstLine="720"/>
        <w:rPr>
          <w:rFonts w:ascii="Times New Roman" w:hAnsi="Times New Roman" w:cs="Times New Roman"/>
          <w:i/>
          <w:sz w:val="24"/>
          <w:szCs w:val="24"/>
        </w:rPr>
      </w:pPr>
      <w:r w:rsidRPr="008011F7">
        <w:rPr>
          <w:rFonts w:ascii="Times New Roman" w:hAnsi="Times New Roman" w:cs="Times New Roman"/>
          <w:sz w:val="24"/>
          <w:szCs w:val="24"/>
        </w:rPr>
        <w:t xml:space="preserve">In </w:t>
      </w:r>
      <w:r w:rsidRPr="008011F7">
        <w:rPr>
          <w:rFonts w:ascii="Times New Roman" w:hAnsi="Times New Roman" w:cs="Times New Roman"/>
          <w:i/>
          <w:sz w:val="24"/>
          <w:szCs w:val="24"/>
        </w:rPr>
        <w:t>Gilbert</w:t>
      </w:r>
      <w:r w:rsidRPr="008011F7">
        <w:rPr>
          <w:rFonts w:ascii="Times New Roman" w:hAnsi="Times New Roman" w:cs="Times New Roman"/>
          <w:sz w:val="24"/>
          <w:szCs w:val="24"/>
        </w:rPr>
        <w:t xml:space="preserve">, the Court concluded that where a defendant fixes the property by removing the barriers to access, the voluntary remodeling demonstrates that barrier removal was readily achievable, and no further evidence is required of the plaintiff to prove his claim. </w:t>
      </w:r>
      <w:r w:rsidRPr="008011F7">
        <w:rPr>
          <w:rFonts w:ascii="Times New Roman" w:hAnsi="Times New Roman" w:cs="Times New Roman"/>
          <w:i/>
          <w:sz w:val="24"/>
          <w:szCs w:val="24"/>
        </w:rPr>
        <w:t>Id.</w:t>
      </w:r>
    </w:p>
    <w:p w14:paraId="69984DCA" w14:textId="77777777" w:rsidR="00110212" w:rsidRDefault="00110212" w:rsidP="0079408B">
      <w:pPr>
        <w:autoSpaceDE w:val="0"/>
        <w:autoSpaceDN w:val="0"/>
        <w:adjustRightInd w:val="0"/>
        <w:spacing w:after="0" w:line="240" w:lineRule="auto"/>
        <w:rPr>
          <w:rFonts w:ascii="Times New Roman" w:hAnsi="Times New Roman" w:cs="Times New Roman"/>
          <w:sz w:val="24"/>
          <w:szCs w:val="24"/>
        </w:rPr>
      </w:pPr>
    </w:p>
    <w:p w14:paraId="5E84926F" w14:textId="7A835D8E" w:rsidR="00110212" w:rsidRDefault="00110212" w:rsidP="00110212">
      <w:pPr>
        <w:autoSpaceDE w:val="0"/>
        <w:autoSpaceDN w:val="0"/>
        <w:adjustRightInd w:val="0"/>
        <w:spacing w:after="0" w:line="240" w:lineRule="auto"/>
        <w:rPr>
          <w:rFonts w:ascii="Times New Roman" w:hAnsi="Times New Roman" w:cs="Times New Roman"/>
          <w:sz w:val="24"/>
          <w:szCs w:val="24"/>
        </w:rPr>
      </w:pPr>
      <w:r w:rsidRPr="00110212">
        <w:rPr>
          <w:rFonts w:ascii="Times New Roman" w:hAnsi="Times New Roman" w:cs="Times New Roman"/>
          <w:sz w:val="24"/>
          <w:szCs w:val="24"/>
        </w:rPr>
        <w:t>             In </w:t>
      </w:r>
      <w:r w:rsidRPr="00110212">
        <w:rPr>
          <w:rFonts w:ascii="Times New Roman" w:hAnsi="Times New Roman" w:cs="Times New Roman"/>
          <w:i/>
          <w:iCs/>
          <w:sz w:val="24"/>
          <w:szCs w:val="24"/>
        </w:rPr>
        <w:t>Langer v. Kiser</w:t>
      </w:r>
      <w:r w:rsidRPr="00110212">
        <w:rPr>
          <w:rFonts w:ascii="Times New Roman" w:hAnsi="Times New Roman" w:cs="Times New Roman"/>
          <w:sz w:val="24"/>
          <w:szCs w:val="24"/>
        </w:rPr>
        <w:t>, 57 F.4th 1085 (9th Cir. 2023), the Ninth Circuit held it was legal error to base a credibility determination on a plaintiff’s history of ADA litigation, on a plaintiff’s status as an accessibility advocate or “tester,” or on the plaintiff’s decision to forego claims against neighboring businesses, because past litigation history is not “a basis for questioning the sincerity” of a plaintiff’s intent to return to a facility, and “there is no past patronage or bona fide customer requirement to bring an ADA claim.”  </w:t>
      </w:r>
      <w:r w:rsidRPr="00110212">
        <w:rPr>
          <w:rFonts w:ascii="Times New Roman" w:hAnsi="Times New Roman" w:cs="Times New Roman"/>
          <w:i/>
          <w:iCs/>
          <w:sz w:val="24"/>
          <w:szCs w:val="24"/>
        </w:rPr>
        <w:t>Id. </w:t>
      </w:r>
      <w:r w:rsidRPr="00110212">
        <w:rPr>
          <w:rFonts w:ascii="Times New Roman" w:hAnsi="Times New Roman" w:cs="Times New Roman"/>
          <w:sz w:val="24"/>
          <w:szCs w:val="24"/>
        </w:rPr>
        <w:t>at 1095-99.  A court “may still make a credibility determination against a serial litigant, but there must be something other than the fact that the litigant files a lot of ADA cases to instill doubt in [their] testimony.” </w:t>
      </w:r>
      <w:r w:rsidRPr="00110212">
        <w:rPr>
          <w:rFonts w:ascii="Times New Roman" w:hAnsi="Times New Roman" w:cs="Times New Roman"/>
          <w:i/>
          <w:iCs/>
          <w:sz w:val="24"/>
          <w:szCs w:val="24"/>
        </w:rPr>
        <w:t>Id</w:t>
      </w:r>
      <w:r w:rsidRPr="00110212">
        <w:rPr>
          <w:rFonts w:ascii="Times New Roman" w:hAnsi="Times New Roman" w:cs="Times New Roman"/>
          <w:sz w:val="24"/>
          <w:szCs w:val="24"/>
        </w:rPr>
        <w:t>. at 1097</w:t>
      </w:r>
      <w:r>
        <w:rPr>
          <w:rFonts w:ascii="Times New Roman" w:hAnsi="Times New Roman" w:cs="Times New Roman"/>
          <w:sz w:val="24"/>
          <w:szCs w:val="24"/>
        </w:rPr>
        <w:t>.</w:t>
      </w:r>
    </w:p>
    <w:p w14:paraId="199144C8" w14:textId="77777777" w:rsidR="00110212" w:rsidRPr="00110212" w:rsidRDefault="00110212" w:rsidP="00110212">
      <w:pPr>
        <w:autoSpaceDE w:val="0"/>
        <w:autoSpaceDN w:val="0"/>
        <w:adjustRightInd w:val="0"/>
        <w:spacing w:after="0" w:line="240" w:lineRule="auto"/>
        <w:rPr>
          <w:rFonts w:ascii="Times New Roman" w:hAnsi="Times New Roman" w:cs="Times New Roman"/>
          <w:sz w:val="24"/>
          <w:szCs w:val="24"/>
        </w:rPr>
      </w:pPr>
    </w:p>
    <w:p w14:paraId="1EF293F4" w14:textId="75B3BD77" w:rsidR="00110212" w:rsidRPr="00110212" w:rsidRDefault="00110212" w:rsidP="00110212">
      <w:pPr>
        <w:autoSpaceDE w:val="0"/>
        <w:autoSpaceDN w:val="0"/>
        <w:adjustRightInd w:val="0"/>
        <w:spacing w:after="0" w:line="240" w:lineRule="auto"/>
        <w:rPr>
          <w:rFonts w:ascii="Times New Roman" w:hAnsi="Times New Roman" w:cs="Times New Roman"/>
          <w:sz w:val="24"/>
          <w:szCs w:val="24"/>
        </w:rPr>
      </w:pPr>
      <w:r w:rsidRPr="00110212">
        <w:rPr>
          <w:rFonts w:ascii="Times New Roman" w:hAnsi="Times New Roman" w:cs="Times New Roman"/>
          <w:sz w:val="24"/>
          <w:szCs w:val="24"/>
        </w:rPr>
        <w:t>            The Ninth Circuit explained </w:t>
      </w:r>
      <w:r w:rsidRPr="00110212">
        <w:rPr>
          <w:rFonts w:ascii="Times New Roman" w:hAnsi="Times New Roman" w:cs="Times New Roman"/>
          <w:i/>
          <w:iCs/>
          <w:sz w:val="24"/>
          <w:szCs w:val="24"/>
        </w:rPr>
        <w:t>in Langer</w:t>
      </w:r>
      <w:r w:rsidRPr="00110212">
        <w:rPr>
          <w:rFonts w:ascii="Times New Roman" w:hAnsi="Times New Roman" w:cs="Times New Roman"/>
          <w:sz w:val="24"/>
          <w:szCs w:val="24"/>
        </w:rPr>
        <w:t> that “the actual usage of the facility in question” is determinative of whether it is open to the public such that compliance with Title III of the ADA is mandated.  </w:t>
      </w:r>
      <w:r w:rsidRPr="00110212">
        <w:rPr>
          <w:rFonts w:ascii="Times New Roman" w:hAnsi="Times New Roman" w:cs="Times New Roman"/>
          <w:i/>
          <w:iCs/>
          <w:sz w:val="24"/>
          <w:szCs w:val="24"/>
        </w:rPr>
        <w:t>Langer</w:t>
      </w:r>
      <w:r w:rsidRPr="00110212">
        <w:rPr>
          <w:rFonts w:ascii="Times New Roman" w:hAnsi="Times New Roman" w:cs="Times New Roman"/>
          <w:sz w:val="24"/>
          <w:szCs w:val="24"/>
        </w:rPr>
        <w:t>, 57 F.4th at 1102.  “Absent information about actual usage, considerations such as the nature of the entity and the facility, as well as the public’s reasonable expectations regarding use of the facility, may further guide a court’s analysis.” </w:t>
      </w:r>
      <w:r w:rsidRPr="00110212">
        <w:rPr>
          <w:rFonts w:ascii="Times New Roman" w:hAnsi="Times New Roman" w:cs="Times New Roman"/>
          <w:i/>
          <w:iCs/>
          <w:sz w:val="24"/>
          <w:szCs w:val="24"/>
        </w:rPr>
        <w:t>Id.</w:t>
      </w:r>
      <w:r>
        <w:rPr>
          <w:rFonts w:ascii="Times New Roman" w:hAnsi="Times New Roman" w:cs="Times New Roman"/>
          <w:i/>
          <w:iCs/>
          <w:sz w:val="24"/>
          <w:szCs w:val="24"/>
        </w:rPr>
        <w:t xml:space="preserve"> </w:t>
      </w:r>
      <w:bookmarkStart w:id="2" w:name="Trader_Joe’s_Co._v._Trader_Joe’s_United_"/>
      <w:bookmarkStart w:id="3" w:name="Instruction_15.30"/>
      <w:bookmarkEnd w:id="2"/>
      <w:bookmarkEnd w:id="3"/>
    </w:p>
    <w:p w14:paraId="2473258F" w14:textId="77777777" w:rsidR="0079408B" w:rsidRPr="00F43EB2" w:rsidRDefault="0079408B" w:rsidP="0079408B">
      <w:pPr>
        <w:autoSpaceDE w:val="0"/>
        <w:autoSpaceDN w:val="0"/>
        <w:adjustRightInd w:val="0"/>
        <w:spacing w:after="0" w:line="240" w:lineRule="auto"/>
        <w:rPr>
          <w:rFonts w:ascii="Times New Roman" w:hAnsi="Times New Roman" w:cs="Times New Roman"/>
          <w:sz w:val="24"/>
          <w:szCs w:val="24"/>
        </w:rPr>
      </w:pPr>
    </w:p>
    <w:p w14:paraId="707492B9" w14:textId="77777777" w:rsidR="0079408B" w:rsidRDefault="0079408B" w:rsidP="0079408B">
      <w:pPr>
        <w:autoSpaceDE w:val="0"/>
        <w:autoSpaceDN w:val="0"/>
        <w:adjustRightInd w:val="0"/>
        <w:spacing w:after="0" w:line="240" w:lineRule="auto"/>
        <w:rPr>
          <w:rFonts w:ascii="Times New Roman" w:hAnsi="Times New Roman" w:cs="Times New Roman"/>
          <w:sz w:val="24"/>
          <w:szCs w:val="24"/>
        </w:rPr>
      </w:pPr>
      <w:r w:rsidRPr="00F43EB2">
        <w:rPr>
          <w:rFonts w:ascii="Times New Roman" w:hAnsi="Times New Roman" w:cs="Times New Roman"/>
          <w:sz w:val="24"/>
          <w:szCs w:val="24"/>
        </w:rPr>
        <w:tab/>
        <w:t xml:space="preserve">A retaliation instruction has been withdrawn based on the Ninth Circuit’s decision in </w:t>
      </w:r>
      <w:r w:rsidRPr="00F43EB2">
        <w:rPr>
          <w:rFonts w:ascii="Times New Roman" w:hAnsi="Times New Roman" w:cs="Times New Roman"/>
          <w:i/>
          <w:iCs/>
          <w:sz w:val="24"/>
          <w:szCs w:val="24"/>
        </w:rPr>
        <w:t>Alvarado v. Cajun Operating Co.</w:t>
      </w:r>
      <w:r w:rsidRPr="00F43EB2">
        <w:rPr>
          <w:rFonts w:ascii="Times New Roman" w:hAnsi="Times New Roman" w:cs="Times New Roman"/>
          <w:sz w:val="24"/>
          <w:szCs w:val="24"/>
        </w:rPr>
        <w:t xml:space="preserve">, 588 F.3d 1261, 1270 (9th Cir. 2009) (“Because we conclude that ADA retaliation claims are redressable only by equitable relief, no jury trial is available.”). A district court, however, may award nominal damages as equitable relief in an ADA retaliation claim. </w:t>
      </w:r>
      <w:r w:rsidRPr="00F43EB2">
        <w:rPr>
          <w:rFonts w:ascii="Times New Roman" w:hAnsi="Times New Roman" w:cs="Times New Roman"/>
          <w:i/>
          <w:iCs/>
          <w:sz w:val="24"/>
          <w:szCs w:val="24"/>
        </w:rPr>
        <w:t>Bayer v. Neiman Marcus Grp., Inc</w:t>
      </w:r>
      <w:r w:rsidRPr="00F43EB2">
        <w:rPr>
          <w:rFonts w:ascii="Times New Roman" w:hAnsi="Times New Roman" w:cs="Times New Roman"/>
          <w:sz w:val="24"/>
          <w:szCs w:val="24"/>
        </w:rPr>
        <w:t>., 861 F.3d 853, 874 (9th Cir. 2017).</w:t>
      </w:r>
    </w:p>
    <w:p w14:paraId="4666741E" w14:textId="77777777" w:rsidR="0079408B" w:rsidRDefault="0079408B" w:rsidP="0079408B">
      <w:pPr>
        <w:autoSpaceDE w:val="0"/>
        <w:autoSpaceDN w:val="0"/>
        <w:adjustRightInd w:val="0"/>
        <w:spacing w:after="0" w:line="240" w:lineRule="auto"/>
        <w:rPr>
          <w:rFonts w:ascii="Times New Roman" w:hAnsi="Times New Roman" w:cs="Times New Roman"/>
          <w:sz w:val="24"/>
          <w:szCs w:val="24"/>
        </w:rPr>
      </w:pPr>
    </w:p>
    <w:p w14:paraId="78B53AAD" w14:textId="0B788062" w:rsidR="0079408B" w:rsidRPr="0079408B" w:rsidRDefault="0079408B" w:rsidP="0079408B">
      <w:pPr>
        <w:autoSpaceDE w:val="0"/>
        <w:autoSpaceDN w:val="0"/>
        <w:adjustRightInd w:val="0"/>
        <w:spacing w:after="0" w:line="240" w:lineRule="auto"/>
        <w:jc w:val="right"/>
        <w:rPr>
          <w:rFonts w:ascii="Times New Roman" w:hAnsi="Times New Roman" w:cs="Times New Roman"/>
          <w:i/>
          <w:iCs/>
          <w:sz w:val="24"/>
          <w:szCs w:val="24"/>
        </w:rPr>
      </w:pPr>
      <w:r>
        <w:rPr>
          <w:rFonts w:ascii="Times New Roman" w:hAnsi="Times New Roman" w:cs="Times New Roman"/>
          <w:i/>
          <w:iCs/>
          <w:sz w:val="24"/>
          <w:szCs w:val="24"/>
        </w:rPr>
        <w:t xml:space="preserve">Revised </w:t>
      </w:r>
      <w:r w:rsidR="00110212">
        <w:rPr>
          <w:rFonts w:ascii="Times New Roman" w:hAnsi="Times New Roman" w:cs="Times New Roman"/>
          <w:i/>
          <w:iCs/>
          <w:sz w:val="24"/>
          <w:szCs w:val="24"/>
        </w:rPr>
        <w:t xml:space="preserve">December </w:t>
      </w:r>
      <w:r w:rsidR="00A53433">
        <w:rPr>
          <w:rFonts w:ascii="Times New Roman" w:hAnsi="Times New Roman" w:cs="Times New Roman"/>
          <w:i/>
          <w:iCs/>
          <w:sz w:val="24"/>
          <w:szCs w:val="24"/>
        </w:rPr>
        <w:t>2025</w:t>
      </w:r>
    </w:p>
    <w:bookmarkEnd w:id="1"/>
    <w:p w14:paraId="56117B0E" w14:textId="77777777" w:rsidR="00C30C2C" w:rsidRDefault="00C30C2C"/>
    <w:sectPr w:rsidR="00C30C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08B"/>
    <w:rsid w:val="0001407E"/>
    <w:rsid w:val="00057049"/>
    <w:rsid w:val="00110212"/>
    <w:rsid w:val="001C3820"/>
    <w:rsid w:val="00230CA3"/>
    <w:rsid w:val="00235FFF"/>
    <w:rsid w:val="002664C5"/>
    <w:rsid w:val="00405254"/>
    <w:rsid w:val="004420FE"/>
    <w:rsid w:val="0057449A"/>
    <w:rsid w:val="00695F6A"/>
    <w:rsid w:val="006E771A"/>
    <w:rsid w:val="0079408B"/>
    <w:rsid w:val="008011F7"/>
    <w:rsid w:val="008B53AF"/>
    <w:rsid w:val="008C6434"/>
    <w:rsid w:val="00A53433"/>
    <w:rsid w:val="00AF5729"/>
    <w:rsid w:val="00B951E2"/>
    <w:rsid w:val="00BC67C9"/>
    <w:rsid w:val="00BE0F07"/>
    <w:rsid w:val="00C30C2C"/>
    <w:rsid w:val="00E33EAD"/>
    <w:rsid w:val="00E87526"/>
    <w:rsid w:val="00EB3BF7"/>
    <w:rsid w:val="00F24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58721"/>
  <w15:chartTrackingRefBased/>
  <w15:docId w15:val="{60A0AB78-0F2A-455C-82EA-2B592A7E7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08B"/>
    <w:pPr>
      <w:spacing w:after="160" w:line="259" w:lineRule="auto"/>
    </w:pPr>
    <w:rPr>
      <w:rFonts w:asciiTheme="minorHAnsi" w:hAnsiTheme="minorHAnsi" w:cstheme="minorBidi"/>
      <w:kern w:val="0"/>
      <w:sz w:val="22"/>
      <w:szCs w:val="22"/>
      <w14:ligatures w14:val="none"/>
    </w:rPr>
  </w:style>
  <w:style w:type="paragraph" w:styleId="Heading1">
    <w:name w:val="heading 1"/>
    <w:aliases w:val="Heading"/>
    <w:basedOn w:val="Normal"/>
    <w:next w:val="Normal"/>
    <w:link w:val="Heading1Char"/>
    <w:uiPriority w:val="9"/>
    <w:qFormat/>
    <w:rsid w:val="006E771A"/>
    <w:pPr>
      <w:keepNext/>
      <w:keepLines/>
      <w:spacing w:before="240" w:after="0"/>
      <w:outlineLvl w:val="0"/>
    </w:pPr>
    <w:rPr>
      <w:rFonts w:ascii="Times New Roman" w:eastAsiaTheme="majorEastAsia" w:hAnsi="Times New Roman" w:cstheme="majorBidi"/>
      <w:b/>
      <w:color w:val="000000" w:themeColor="text1"/>
      <w:kern w:val="2"/>
      <w:sz w:val="28"/>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uiPriority w:val="9"/>
    <w:rsid w:val="006E771A"/>
    <w:rPr>
      <w:rFonts w:eastAsiaTheme="majorEastAsia" w:cstheme="majorBidi"/>
      <w:b/>
      <w:color w:val="000000" w:themeColor="text1"/>
      <w:sz w:val="28"/>
      <w:szCs w:val="32"/>
    </w:rPr>
  </w:style>
  <w:style w:type="paragraph" w:styleId="Revision">
    <w:name w:val="Revision"/>
    <w:hidden/>
    <w:uiPriority w:val="99"/>
    <w:semiHidden/>
    <w:rsid w:val="0079408B"/>
    <w:rPr>
      <w:rFonts w:asciiTheme="minorHAnsi" w:hAnsiTheme="minorHAnsi" w:cstheme="minorBidi"/>
      <w:kern w:val="0"/>
      <w:sz w:val="22"/>
      <w:szCs w:val="22"/>
      <w14:ligatures w14:val="none"/>
    </w:rPr>
  </w:style>
  <w:style w:type="paragraph" w:styleId="BodyText">
    <w:name w:val="Body Text"/>
    <w:basedOn w:val="Normal"/>
    <w:link w:val="BodyTextChar"/>
    <w:uiPriority w:val="99"/>
    <w:semiHidden/>
    <w:unhideWhenUsed/>
    <w:rsid w:val="00110212"/>
    <w:pPr>
      <w:spacing w:after="120"/>
    </w:pPr>
  </w:style>
  <w:style w:type="character" w:customStyle="1" w:styleId="BodyTextChar">
    <w:name w:val="Body Text Char"/>
    <w:basedOn w:val="DefaultParagraphFont"/>
    <w:link w:val="BodyText"/>
    <w:uiPriority w:val="99"/>
    <w:semiHidden/>
    <w:rsid w:val="00110212"/>
    <w:rPr>
      <w:rFonts w:asciiTheme="minorHAnsi" w:hAnsiTheme="minorHAnsi" w:cstheme="minorBidi"/>
      <w:kern w:val="0"/>
      <w:sz w:val="22"/>
      <w:szCs w:val="22"/>
      <w14:ligatures w14:val="none"/>
    </w:rPr>
  </w:style>
  <w:style w:type="character" w:styleId="CommentReference">
    <w:name w:val="annotation reference"/>
    <w:basedOn w:val="DefaultParagraphFont"/>
    <w:uiPriority w:val="99"/>
    <w:semiHidden/>
    <w:unhideWhenUsed/>
    <w:rsid w:val="00110212"/>
    <w:rPr>
      <w:sz w:val="16"/>
      <w:szCs w:val="16"/>
    </w:rPr>
  </w:style>
  <w:style w:type="paragraph" w:styleId="CommentText">
    <w:name w:val="annotation text"/>
    <w:basedOn w:val="Normal"/>
    <w:link w:val="CommentTextChar"/>
    <w:uiPriority w:val="99"/>
    <w:unhideWhenUsed/>
    <w:rsid w:val="00110212"/>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110212"/>
    <w:rPr>
      <w:rFonts w:eastAsia="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14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1507</Words>
  <Characters>8590</Characters>
  <Application>Microsoft Office Word</Application>
  <DocSecurity>0</DocSecurity>
  <Lines>71</Lines>
  <Paragraphs>20</Paragraphs>
  <ScaleCrop>false</ScaleCrop>
  <Company/>
  <LinksUpToDate>false</LinksUpToDate>
  <CharactersWithSpaces>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Aejung Yoon</cp:lastModifiedBy>
  <cp:revision>14</cp:revision>
  <dcterms:created xsi:type="dcterms:W3CDTF">2024-05-21T00:42:00Z</dcterms:created>
  <dcterms:modified xsi:type="dcterms:W3CDTF">2026-02-09T17:53:00Z</dcterms:modified>
</cp:coreProperties>
</file>