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DCB1D" w14:textId="0269562F" w:rsidR="00FB2570" w:rsidRPr="00F43EB2" w:rsidRDefault="00FB2570" w:rsidP="00FB2570">
      <w:pPr>
        <w:autoSpaceDE w:val="0"/>
        <w:autoSpaceDN w:val="0"/>
        <w:adjustRightInd w:val="0"/>
        <w:spacing w:after="0" w:line="240" w:lineRule="auto"/>
        <w:jc w:val="center"/>
        <w:outlineLvl w:val="1"/>
        <w:rPr>
          <w:rFonts w:ascii="Times New Roman" w:hAnsi="Times New Roman" w:cs="Times New Roman"/>
          <w:b/>
          <w:bCs/>
          <w:sz w:val="24"/>
          <w:szCs w:val="24"/>
        </w:rPr>
      </w:pPr>
      <w:bookmarkStart w:id="0" w:name="_Toc117512516"/>
      <w:r w:rsidRPr="00F43EB2">
        <w:rPr>
          <w:rFonts w:ascii="Times New Roman" w:hAnsi="Times New Roman" w:cs="Times New Roman"/>
          <w:b/>
          <w:bCs/>
          <w:sz w:val="24"/>
          <w:szCs w:val="24"/>
        </w:rPr>
        <w:t>12.12 ADA—Defenses—Direct Threat</w:t>
      </w:r>
      <w:bookmarkEnd w:id="0"/>
    </w:p>
    <w:p w14:paraId="12C5FE57" w14:textId="77777777" w:rsidR="00FB2570" w:rsidRPr="00F43EB2" w:rsidRDefault="00FB2570" w:rsidP="00FB2570">
      <w:pPr>
        <w:spacing w:after="0" w:line="240" w:lineRule="auto"/>
        <w:rPr>
          <w:rFonts w:ascii="Times New Roman" w:hAnsi="Times New Roman" w:cs="Times New Roman"/>
          <w:sz w:val="24"/>
        </w:rPr>
      </w:pPr>
    </w:p>
    <w:p w14:paraId="50BB0B2C" w14:textId="77777777" w:rsidR="00FB2570" w:rsidRPr="00F43EB2" w:rsidRDefault="00FB2570" w:rsidP="00FB2570">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It is a defense to the plaintiff’s ADA claim if the plaintiff posed a direct threat to the health and safety of others [or if the requirements of the job would pose a direct threat to the plaintiff]. The defendant may require, as a qualification for the position, that an individual not pose a “direct threat” to the health or safety of [[others] [himself] [herself] [</w:t>
      </w:r>
      <w:proofErr w:type="gramStart"/>
      <w:r w:rsidRPr="00F43EB2">
        <w:rPr>
          <w:rFonts w:ascii="Times New Roman" w:hAnsi="Times New Roman" w:cs="Times New Roman"/>
          <w:i/>
          <w:iCs/>
          <w:sz w:val="24"/>
          <w:szCs w:val="24"/>
          <w:u w:val="single"/>
        </w:rPr>
        <w:t>other</w:t>
      </w:r>
      <w:proofErr w:type="gramEnd"/>
      <w:r w:rsidRPr="00F43EB2">
        <w:rPr>
          <w:rFonts w:ascii="Times New Roman" w:hAnsi="Times New Roman" w:cs="Times New Roman"/>
          <w:i/>
          <w:iCs/>
          <w:sz w:val="24"/>
          <w:szCs w:val="24"/>
          <w:u w:val="single"/>
        </w:rPr>
        <w:t xml:space="preserve"> pronoun</w:t>
      </w:r>
      <w:r w:rsidRPr="00F43EB2">
        <w:rPr>
          <w:rFonts w:ascii="Times New Roman" w:hAnsi="Times New Roman" w:cs="Times New Roman"/>
          <w:sz w:val="24"/>
          <w:szCs w:val="24"/>
        </w:rPr>
        <w:t>]] in the workplace. A health or safety risk can only be considered if it is a significant risk of substantial harm. Assessment of the existence of a direct threat must be based on valid and objective evidence and not speculation.</w:t>
      </w:r>
    </w:p>
    <w:p w14:paraId="32A88056" w14:textId="77777777" w:rsidR="00FB2570" w:rsidRPr="00F43EB2" w:rsidRDefault="00FB2570" w:rsidP="00FB2570">
      <w:pPr>
        <w:autoSpaceDE w:val="0"/>
        <w:autoSpaceDN w:val="0"/>
        <w:adjustRightInd w:val="0"/>
        <w:spacing w:after="0" w:line="240" w:lineRule="auto"/>
        <w:rPr>
          <w:rFonts w:ascii="Times New Roman" w:hAnsi="Times New Roman" w:cs="Times New Roman"/>
          <w:sz w:val="24"/>
          <w:szCs w:val="24"/>
        </w:rPr>
      </w:pPr>
    </w:p>
    <w:p w14:paraId="0550258F" w14:textId="77777777" w:rsidR="00FB2570" w:rsidRPr="00F43EB2" w:rsidRDefault="00FB2570" w:rsidP="00FB2570">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The defendant claiming the “direct threat” defense must prove by a preponderance of the evidence that the plaintiff posed a direct threat to the health or safety of [[others] [himself] [herself] [</w:t>
      </w:r>
      <w:r w:rsidRPr="00F43EB2">
        <w:rPr>
          <w:rFonts w:ascii="Times New Roman" w:hAnsi="Times New Roman" w:cs="Times New Roman"/>
          <w:i/>
          <w:iCs/>
          <w:sz w:val="24"/>
          <w:szCs w:val="24"/>
          <w:u w:val="single"/>
        </w:rPr>
        <w:t>other pronoun</w:t>
      </w:r>
      <w:r w:rsidRPr="00F43EB2">
        <w:rPr>
          <w:rFonts w:ascii="Times New Roman" w:hAnsi="Times New Roman" w:cs="Times New Roman"/>
          <w:sz w:val="24"/>
          <w:szCs w:val="24"/>
        </w:rPr>
        <w:t>]] that could not be eliminated by a reasonable accommodation.</w:t>
      </w:r>
    </w:p>
    <w:p w14:paraId="6EBD88E8" w14:textId="77777777" w:rsidR="00FB2570" w:rsidRPr="00F43EB2" w:rsidRDefault="00FB2570" w:rsidP="00FB2570">
      <w:pPr>
        <w:autoSpaceDE w:val="0"/>
        <w:autoSpaceDN w:val="0"/>
        <w:adjustRightInd w:val="0"/>
        <w:spacing w:after="0" w:line="240" w:lineRule="auto"/>
        <w:rPr>
          <w:rFonts w:ascii="Times New Roman" w:hAnsi="Times New Roman" w:cs="Times New Roman"/>
          <w:sz w:val="24"/>
          <w:szCs w:val="24"/>
        </w:rPr>
      </w:pPr>
    </w:p>
    <w:p w14:paraId="783A21B1" w14:textId="5F8C3084" w:rsidR="00FB2570" w:rsidRPr="00F43EB2" w:rsidRDefault="00FB2570" w:rsidP="00FB2570">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Factors that you should consider in determining whether an individual poses a direct threat to the health and safety of [[others] [himself] [herself]] [</w:t>
      </w:r>
      <w:proofErr w:type="gramStart"/>
      <w:r w:rsidRPr="00F43EB2">
        <w:rPr>
          <w:rFonts w:ascii="Times New Roman" w:hAnsi="Times New Roman" w:cs="Times New Roman"/>
          <w:i/>
          <w:iCs/>
          <w:sz w:val="24"/>
          <w:szCs w:val="24"/>
          <w:u w:val="single"/>
        </w:rPr>
        <w:t>other</w:t>
      </w:r>
      <w:proofErr w:type="gramEnd"/>
      <w:r w:rsidRPr="00F43EB2">
        <w:rPr>
          <w:rFonts w:ascii="Times New Roman" w:hAnsi="Times New Roman" w:cs="Times New Roman"/>
          <w:i/>
          <w:iCs/>
          <w:sz w:val="24"/>
          <w:szCs w:val="24"/>
          <w:u w:val="single"/>
        </w:rPr>
        <w:t xml:space="preserve"> pronoun</w:t>
      </w:r>
      <w:r w:rsidRPr="00F43EB2">
        <w:rPr>
          <w:rFonts w:ascii="Times New Roman" w:hAnsi="Times New Roman" w:cs="Times New Roman"/>
          <w:sz w:val="24"/>
          <w:szCs w:val="24"/>
        </w:rPr>
        <w:t>] are:</w:t>
      </w:r>
    </w:p>
    <w:p w14:paraId="692B756A" w14:textId="77777777" w:rsidR="00FB2570" w:rsidRPr="00F43EB2" w:rsidRDefault="00FB2570" w:rsidP="00FB2570">
      <w:pPr>
        <w:autoSpaceDE w:val="0"/>
        <w:autoSpaceDN w:val="0"/>
        <w:adjustRightInd w:val="0"/>
        <w:spacing w:after="0" w:line="240" w:lineRule="auto"/>
        <w:rPr>
          <w:rFonts w:ascii="Times New Roman" w:hAnsi="Times New Roman" w:cs="Times New Roman"/>
          <w:sz w:val="24"/>
          <w:szCs w:val="24"/>
        </w:rPr>
      </w:pPr>
    </w:p>
    <w:p w14:paraId="434455EC" w14:textId="202E0FB2" w:rsidR="00FB2570" w:rsidRPr="00F43EB2" w:rsidRDefault="00FB2570" w:rsidP="00FB2570">
      <w:pPr>
        <w:autoSpaceDE w:val="0"/>
        <w:autoSpaceDN w:val="0"/>
        <w:adjustRightInd w:val="0"/>
        <w:spacing w:after="0" w:line="240" w:lineRule="auto"/>
        <w:ind w:left="1440" w:hanging="720"/>
        <w:rPr>
          <w:rFonts w:ascii="Times New Roman" w:hAnsi="Times New Roman" w:cs="Times New Roman"/>
          <w:sz w:val="24"/>
          <w:szCs w:val="24"/>
        </w:rPr>
      </w:pPr>
      <w:r w:rsidRPr="00F43EB2">
        <w:rPr>
          <w:rFonts w:ascii="Times New Roman" w:hAnsi="Times New Roman" w:cs="Times New Roman"/>
          <w:sz w:val="24"/>
          <w:szCs w:val="24"/>
        </w:rPr>
        <w:t>(1)</w:t>
      </w:r>
      <w:r w:rsidRPr="00F43EB2">
        <w:rPr>
          <w:rFonts w:ascii="Times New Roman" w:hAnsi="Times New Roman" w:cs="Times New Roman"/>
          <w:sz w:val="24"/>
          <w:szCs w:val="24"/>
        </w:rPr>
        <w:tab/>
        <w:t xml:space="preserve">the nature and severity of the potential </w:t>
      </w:r>
      <w:proofErr w:type="gramStart"/>
      <w:r w:rsidRPr="00F43EB2">
        <w:rPr>
          <w:rFonts w:ascii="Times New Roman" w:hAnsi="Times New Roman" w:cs="Times New Roman"/>
          <w:sz w:val="24"/>
          <w:szCs w:val="24"/>
        </w:rPr>
        <w:t>harm;</w:t>
      </w:r>
      <w:proofErr w:type="gramEnd"/>
    </w:p>
    <w:p w14:paraId="2FA12696" w14:textId="77777777" w:rsidR="00FB2570" w:rsidRPr="00F43EB2" w:rsidRDefault="00FB2570" w:rsidP="00FB2570">
      <w:pPr>
        <w:autoSpaceDE w:val="0"/>
        <w:autoSpaceDN w:val="0"/>
        <w:adjustRightInd w:val="0"/>
        <w:spacing w:after="0" w:line="240" w:lineRule="auto"/>
        <w:ind w:left="1440" w:hanging="720"/>
        <w:rPr>
          <w:rFonts w:ascii="Times New Roman" w:hAnsi="Times New Roman" w:cs="Times New Roman"/>
          <w:sz w:val="24"/>
          <w:szCs w:val="24"/>
        </w:rPr>
      </w:pPr>
    </w:p>
    <w:p w14:paraId="545218E4" w14:textId="221CEE0B" w:rsidR="00FB2570" w:rsidRPr="00F43EB2" w:rsidRDefault="00FB2570" w:rsidP="00FB2570">
      <w:pPr>
        <w:autoSpaceDE w:val="0"/>
        <w:autoSpaceDN w:val="0"/>
        <w:adjustRightInd w:val="0"/>
        <w:spacing w:after="0" w:line="240" w:lineRule="auto"/>
        <w:ind w:left="1440" w:hanging="720"/>
        <w:rPr>
          <w:rFonts w:ascii="Times New Roman" w:hAnsi="Times New Roman" w:cs="Times New Roman"/>
          <w:sz w:val="24"/>
          <w:szCs w:val="24"/>
        </w:rPr>
      </w:pPr>
      <w:r w:rsidRPr="00F43EB2">
        <w:rPr>
          <w:rFonts w:ascii="Times New Roman" w:hAnsi="Times New Roman" w:cs="Times New Roman"/>
          <w:sz w:val="24"/>
          <w:szCs w:val="24"/>
        </w:rPr>
        <w:t>(2)</w:t>
      </w:r>
      <w:r w:rsidRPr="00F43EB2">
        <w:rPr>
          <w:rFonts w:ascii="Times New Roman" w:hAnsi="Times New Roman" w:cs="Times New Roman"/>
          <w:sz w:val="24"/>
          <w:szCs w:val="24"/>
        </w:rPr>
        <w:tab/>
        <w:t xml:space="preserve">the duration of the potential </w:t>
      </w:r>
      <w:proofErr w:type="gramStart"/>
      <w:r w:rsidRPr="00F43EB2">
        <w:rPr>
          <w:rFonts w:ascii="Times New Roman" w:hAnsi="Times New Roman" w:cs="Times New Roman"/>
          <w:sz w:val="24"/>
          <w:szCs w:val="24"/>
        </w:rPr>
        <w:t>harm;</w:t>
      </w:r>
      <w:proofErr w:type="gramEnd"/>
    </w:p>
    <w:p w14:paraId="6C91B8D8" w14:textId="77777777" w:rsidR="00FB2570" w:rsidRPr="00F43EB2" w:rsidRDefault="00FB2570" w:rsidP="00FB2570">
      <w:pPr>
        <w:autoSpaceDE w:val="0"/>
        <w:autoSpaceDN w:val="0"/>
        <w:adjustRightInd w:val="0"/>
        <w:spacing w:after="0" w:line="240" w:lineRule="auto"/>
        <w:ind w:left="1440" w:hanging="720"/>
        <w:rPr>
          <w:rFonts w:ascii="Times New Roman" w:hAnsi="Times New Roman" w:cs="Times New Roman"/>
          <w:sz w:val="24"/>
          <w:szCs w:val="24"/>
        </w:rPr>
      </w:pPr>
    </w:p>
    <w:p w14:paraId="2D6D2464" w14:textId="4AE4CF52" w:rsidR="00FB2570" w:rsidRPr="00F43EB2" w:rsidRDefault="00FB2570" w:rsidP="00FB2570">
      <w:pPr>
        <w:autoSpaceDE w:val="0"/>
        <w:autoSpaceDN w:val="0"/>
        <w:adjustRightInd w:val="0"/>
        <w:spacing w:after="0" w:line="240" w:lineRule="auto"/>
        <w:ind w:left="1440" w:hanging="720"/>
        <w:rPr>
          <w:rFonts w:ascii="Times New Roman" w:hAnsi="Times New Roman" w:cs="Times New Roman"/>
          <w:sz w:val="24"/>
          <w:szCs w:val="24"/>
        </w:rPr>
      </w:pPr>
      <w:r w:rsidRPr="00F43EB2">
        <w:rPr>
          <w:rFonts w:ascii="Times New Roman" w:hAnsi="Times New Roman" w:cs="Times New Roman"/>
          <w:sz w:val="24"/>
          <w:szCs w:val="24"/>
        </w:rPr>
        <w:t>(3)</w:t>
      </w:r>
      <w:r w:rsidRPr="00F43EB2">
        <w:rPr>
          <w:rFonts w:ascii="Times New Roman" w:hAnsi="Times New Roman" w:cs="Times New Roman"/>
          <w:sz w:val="24"/>
          <w:szCs w:val="24"/>
        </w:rPr>
        <w:tab/>
        <w:t>the imminence of the potential harm; and</w:t>
      </w:r>
    </w:p>
    <w:p w14:paraId="4F19D5C9" w14:textId="77777777" w:rsidR="00FB2570" w:rsidRPr="00F43EB2" w:rsidRDefault="00FB2570" w:rsidP="00FB2570">
      <w:pPr>
        <w:autoSpaceDE w:val="0"/>
        <w:autoSpaceDN w:val="0"/>
        <w:adjustRightInd w:val="0"/>
        <w:spacing w:after="0" w:line="240" w:lineRule="auto"/>
        <w:ind w:left="1440" w:hanging="720"/>
        <w:rPr>
          <w:rFonts w:ascii="Times New Roman" w:hAnsi="Times New Roman" w:cs="Times New Roman"/>
          <w:sz w:val="24"/>
          <w:szCs w:val="24"/>
        </w:rPr>
      </w:pPr>
    </w:p>
    <w:p w14:paraId="2D2B6879" w14:textId="46F266E3" w:rsidR="00FB2570" w:rsidRPr="00F43EB2" w:rsidRDefault="00FB2570" w:rsidP="00FB2570">
      <w:pPr>
        <w:autoSpaceDE w:val="0"/>
        <w:autoSpaceDN w:val="0"/>
        <w:adjustRightInd w:val="0"/>
        <w:spacing w:after="0" w:line="240" w:lineRule="auto"/>
        <w:ind w:left="1440" w:hanging="720"/>
        <w:rPr>
          <w:rFonts w:ascii="Times New Roman" w:hAnsi="Times New Roman" w:cs="Times New Roman"/>
          <w:sz w:val="24"/>
          <w:szCs w:val="24"/>
        </w:rPr>
      </w:pPr>
      <w:r w:rsidRPr="00F43EB2">
        <w:rPr>
          <w:rFonts w:ascii="Times New Roman" w:hAnsi="Times New Roman" w:cs="Times New Roman"/>
          <w:sz w:val="24"/>
          <w:szCs w:val="24"/>
        </w:rPr>
        <w:t>(4)</w:t>
      </w:r>
      <w:r w:rsidRPr="00F43EB2">
        <w:rPr>
          <w:rFonts w:ascii="Times New Roman" w:hAnsi="Times New Roman" w:cs="Times New Roman"/>
          <w:sz w:val="24"/>
          <w:szCs w:val="24"/>
        </w:rPr>
        <w:tab/>
        <w:t>the probability of the harm occurring.</w:t>
      </w:r>
    </w:p>
    <w:p w14:paraId="7553A55F" w14:textId="77777777" w:rsidR="00FB2570" w:rsidRPr="00F43EB2" w:rsidRDefault="00FB2570" w:rsidP="00FB2570">
      <w:pPr>
        <w:autoSpaceDE w:val="0"/>
        <w:autoSpaceDN w:val="0"/>
        <w:adjustRightInd w:val="0"/>
        <w:spacing w:after="0" w:line="240" w:lineRule="auto"/>
        <w:rPr>
          <w:rFonts w:ascii="Times New Roman" w:hAnsi="Times New Roman" w:cs="Times New Roman"/>
          <w:sz w:val="24"/>
          <w:szCs w:val="24"/>
        </w:rPr>
      </w:pPr>
    </w:p>
    <w:p w14:paraId="24FC2F4A" w14:textId="77777777" w:rsidR="00FB2570" w:rsidRPr="00F43EB2" w:rsidRDefault="00FB2570" w:rsidP="00FB2570">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If you find that each of the elements on which the plaintiff has the burden of proof has been proved, your verdict should be for the plaintiff, unless you also find that the defendant has proved this affirmative defense, in which event your verdict should be for the defendant.</w:t>
      </w:r>
    </w:p>
    <w:p w14:paraId="79AEF46F" w14:textId="77777777" w:rsidR="00FB2570" w:rsidRPr="00F43EB2" w:rsidRDefault="00FB2570" w:rsidP="00FB2570">
      <w:pPr>
        <w:spacing w:after="0" w:line="240" w:lineRule="auto"/>
        <w:rPr>
          <w:rFonts w:ascii="Times New Roman" w:hAnsi="Times New Roman" w:cs="Times New Roman"/>
          <w:sz w:val="24"/>
        </w:rPr>
      </w:pPr>
    </w:p>
    <w:p w14:paraId="47E43C43" w14:textId="77777777" w:rsidR="00FB2570" w:rsidRPr="00F43EB2" w:rsidRDefault="00FB2570" w:rsidP="00FB2570">
      <w:pPr>
        <w:autoSpaceDE w:val="0"/>
        <w:autoSpaceDN w:val="0"/>
        <w:adjustRightInd w:val="0"/>
        <w:spacing w:after="0" w:line="240" w:lineRule="auto"/>
        <w:jc w:val="center"/>
        <w:rPr>
          <w:rFonts w:ascii="Times New Roman" w:hAnsi="Times New Roman" w:cs="Times New Roman"/>
          <w:sz w:val="24"/>
          <w:szCs w:val="24"/>
        </w:rPr>
      </w:pPr>
      <w:r w:rsidRPr="00F43EB2">
        <w:rPr>
          <w:rFonts w:ascii="Times New Roman" w:hAnsi="Times New Roman" w:cs="Times New Roman"/>
          <w:b/>
          <w:bCs/>
          <w:sz w:val="24"/>
          <w:szCs w:val="24"/>
        </w:rPr>
        <w:t>Comment</w:t>
      </w:r>
    </w:p>
    <w:p w14:paraId="19E8AC96" w14:textId="77777777" w:rsidR="00FB2570" w:rsidRPr="00F43EB2" w:rsidRDefault="00FB2570" w:rsidP="00FB2570">
      <w:pPr>
        <w:spacing w:after="0" w:line="240" w:lineRule="auto"/>
        <w:rPr>
          <w:rFonts w:ascii="Times New Roman" w:hAnsi="Times New Roman" w:cs="Times New Roman"/>
          <w:sz w:val="24"/>
        </w:rPr>
      </w:pPr>
    </w:p>
    <w:p w14:paraId="0E31AC98" w14:textId="77777777" w:rsidR="00FB2570" w:rsidRPr="00F43EB2" w:rsidRDefault="00FB2570" w:rsidP="00FB2570">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r>
      <w:r w:rsidRPr="00F43EB2">
        <w:rPr>
          <w:rFonts w:ascii="Times New Roman" w:hAnsi="Times New Roman" w:cs="Times New Roman"/>
          <w:i/>
          <w:iCs/>
          <w:sz w:val="24"/>
          <w:szCs w:val="24"/>
        </w:rPr>
        <w:t>See</w:t>
      </w:r>
      <w:r w:rsidRPr="00F43EB2">
        <w:rPr>
          <w:rFonts w:ascii="Times New Roman" w:hAnsi="Times New Roman" w:cs="Times New Roman"/>
          <w:sz w:val="24"/>
          <w:szCs w:val="24"/>
        </w:rPr>
        <w:t xml:space="preserve"> 42 U.S.C. §§ 12111(3) (defining “direct threat”), 12113(b) (providing that a qualification standard can include the condition that a person not pose a direct threat); </w:t>
      </w:r>
      <w:r w:rsidRPr="00F43EB2">
        <w:rPr>
          <w:rFonts w:ascii="Times New Roman" w:hAnsi="Times New Roman" w:cs="Times New Roman"/>
          <w:i/>
          <w:iCs/>
          <w:sz w:val="24"/>
          <w:szCs w:val="24"/>
        </w:rPr>
        <w:t xml:space="preserve">School Bd. of Nassau </w:t>
      </w:r>
      <w:proofErr w:type="spellStart"/>
      <w:r w:rsidRPr="00F43EB2">
        <w:rPr>
          <w:rFonts w:ascii="Times New Roman" w:hAnsi="Times New Roman" w:cs="Times New Roman"/>
          <w:i/>
          <w:iCs/>
          <w:sz w:val="24"/>
          <w:szCs w:val="24"/>
        </w:rPr>
        <w:t>Cnty</w:t>
      </w:r>
      <w:proofErr w:type="spellEnd"/>
      <w:r w:rsidRPr="00F43EB2">
        <w:rPr>
          <w:rFonts w:ascii="Times New Roman" w:hAnsi="Times New Roman" w:cs="Times New Roman"/>
          <w:i/>
          <w:iCs/>
          <w:sz w:val="24"/>
          <w:szCs w:val="24"/>
        </w:rPr>
        <w:t>. v. Arline</w:t>
      </w:r>
      <w:r w:rsidRPr="00F43EB2">
        <w:rPr>
          <w:rFonts w:ascii="Times New Roman" w:hAnsi="Times New Roman" w:cs="Times New Roman"/>
          <w:sz w:val="24"/>
          <w:szCs w:val="24"/>
        </w:rPr>
        <w:t>, 480 U.S. 273 (1987) (addressing a claim under the Rehabilitation Act and providing criteria for what is considered a direct threat).</w:t>
      </w:r>
    </w:p>
    <w:p w14:paraId="22B6FC3E" w14:textId="77777777" w:rsidR="00FB2570" w:rsidRPr="00F43EB2" w:rsidRDefault="00FB2570" w:rsidP="00FB2570">
      <w:pPr>
        <w:autoSpaceDE w:val="0"/>
        <w:autoSpaceDN w:val="0"/>
        <w:adjustRightInd w:val="0"/>
        <w:spacing w:after="0" w:line="240" w:lineRule="auto"/>
        <w:rPr>
          <w:rFonts w:ascii="Times New Roman" w:hAnsi="Times New Roman" w:cs="Times New Roman"/>
          <w:sz w:val="24"/>
          <w:szCs w:val="24"/>
        </w:rPr>
      </w:pPr>
    </w:p>
    <w:p w14:paraId="60F792C4" w14:textId="77777777" w:rsidR="00FB2570" w:rsidRPr="00F43EB2" w:rsidRDefault="00FB2570" w:rsidP="00FB2570">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 xml:space="preserve">Because an employee who makes serious and credible threats to kill coworkers is not a qualified individual, an employer is not required to invoke the direct threat defense. </w:t>
      </w:r>
      <w:r w:rsidRPr="00F43EB2">
        <w:rPr>
          <w:rFonts w:ascii="Times New Roman" w:hAnsi="Times New Roman" w:cs="Times New Roman"/>
          <w:i/>
          <w:iCs/>
          <w:sz w:val="24"/>
          <w:szCs w:val="24"/>
        </w:rPr>
        <w:t xml:space="preserve">See </w:t>
      </w:r>
      <w:r w:rsidRPr="00F43EB2">
        <w:rPr>
          <w:rFonts w:ascii="Times New Roman" w:hAnsi="Times New Roman" w:cs="Times New Roman"/>
          <w:sz w:val="24"/>
          <w:szCs w:val="24"/>
        </w:rPr>
        <w:t xml:space="preserve">Instruction 12.5 (ADA—Qualified Individual); </w:t>
      </w:r>
      <w:r w:rsidRPr="00F43EB2">
        <w:rPr>
          <w:rFonts w:ascii="Times New Roman" w:hAnsi="Times New Roman" w:cs="Times New Roman"/>
          <w:i/>
          <w:iCs/>
          <w:sz w:val="24"/>
          <w:szCs w:val="24"/>
        </w:rPr>
        <w:t xml:space="preserve">Mayo v. PCC </w:t>
      </w:r>
      <w:proofErr w:type="spellStart"/>
      <w:r w:rsidRPr="00F43EB2">
        <w:rPr>
          <w:rFonts w:ascii="Times New Roman" w:hAnsi="Times New Roman" w:cs="Times New Roman"/>
          <w:i/>
          <w:iCs/>
          <w:sz w:val="24"/>
          <w:szCs w:val="24"/>
        </w:rPr>
        <w:t>Structurals</w:t>
      </w:r>
      <w:proofErr w:type="spellEnd"/>
      <w:r w:rsidRPr="00F43EB2">
        <w:rPr>
          <w:rFonts w:ascii="Times New Roman" w:hAnsi="Times New Roman" w:cs="Times New Roman"/>
          <w:i/>
          <w:iCs/>
          <w:sz w:val="24"/>
          <w:szCs w:val="24"/>
        </w:rPr>
        <w:t>, Inc.</w:t>
      </w:r>
      <w:r w:rsidRPr="00F43EB2">
        <w:rPr>
          <w:rFonts w:ascii="Times New Roman" w:hAnsi="Times New Roman" w:cs="Times New Roman"/>
          <w:sz w:val="24"/>
          <w:szCs w:val="24"/>
        </w:rPr>
        <w:t xml:space="preserve">, 795 F.3d 941, 945 (9th Cir. 2015). Similarly, an employer who terminates an employee based on past threats of violence against coworkers may show a legitimate nondiscriminatory reason for the termination without invoking the direct threat defense. </w:t>
      </w:r>
      <w:r w:rsidRPr="00F43EB2">
        <w:rPr>
          <w:rFonts w:ascii="Times New Roman" w:hAnsi="Times New Roman" w:cs="Times New Roman"/>
          <w:i/>
          <w:iCs/>
          <w:sz w:val="24"/>
          <w:szCs w:val="24"/>
        </w:rPr>
        <w:t>Curley v. City of North Las Vegas</w:t>
      </w:r>
      <w:r w:rsidRPr="00F43EB2">
        <w:rPr>
          <w:rFonts w:ascii="Times New Roman" w:hAnsi="Times New Roman" w:cs="Times New Roman"/>
          <w:sz w:val="24"/>
          <w:szCs w:val="24"/>
        </w:rPr>
        <w:t>, 772 F.3d 629, 632-33 (9th Cir. 2014).</w:t>
      </w:r>
    </w:p>
    <w:p w14:paraId="14C6448B" w14:textId="77777777" w:rsidR="00FB2570" w:rsidRPr="00F43EB2" w:rsidRDefault="00FB2570" w:rsidP="00FB2570">
      <w:pPr>
        <w:autoSpaceDE w:val="0"/>
        <w:autoSpaceDN w:val="0"/>
        <w:adjustRightInd w:val="0"/>
        <w:spacing w:after="0" w:line="240" w:lineRule="auto"/>
        <w:rPr>
          <w:rFonts w:ascii="Times New Roman" w:hAnsi="Times New Roman" w:cs="Times New Roman"/>
          <w:sz w:val="24"/>
          <w:szCs w:val="24"/>
        </w:rPr>
      </w:pPr>
    </w:p>
    <w:p w14:paraId="15404C16" w14:textId="5C61F418" w:rsidR="00FB2570" w:rsidRPr="00F43EB2" w:rsidRDefault="00FB2570" w:rsidP="00FB2570">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lastRenderedPageBreak/>
        <w:tab/>
        <w:t xml:space="preserve">This defense applies when the direct threat is to the disabled individual. </w:t>
      </w:r>
      <w:r w:rsidRPr="00F43EB2">
        <w:rPr>
          <w:rFonts w:ascii="Times New Roman" w:hAnsi="Times New Roman" w:cs="Times New Roman"/>
          <w:i/>
          <w:iCs/>
          <w:sz w:val="24"/>
          <w:szCs w:val="24"/>
        </w:rPr>
        <w:t xml:space="preserve">See Chevron U.S.A., Inc. v. </w:t>
      </w:r>
      <w:proofErr w:type="spellStart"/>
      <w:r w:rsidRPr="00F43EB2">
        <w:rPr>
          <w:rFonts w:ascii="Times New Roman" w:hAnsi="Times New Roman" w:cs="Times New Roman"/>
          <w:i/>
          <w:iCs/>
          <w:sz w:val="24"/>
          <w:szCs w:val="24"/>
        </w:rPr>
        <w:t>Echazabal</w:t>
      </w:r>
      <w:proofErr w:type="spellEnd"/>
      <w:r w:rsidRPr="00F43EB2">
        <w:rPr>
          <w:rFonts w:ascii="Times New Roman" w:hAnsi="Times New Roman" w:cs="Times New Roman"/>
          <w:sz w:val="24"/>
          <w:szCs w:val="24"/>
        </w:rPr>
        <w:t>, 536 U.S. 73, 76-77 (2002) (recognizing the availability of a “direct threat” defense when toxins at oil refinery would exacerbate the plaintiff’s liver condition).</w:t>
      </w:r>
    </w:p>
    <w:p w14:paraId="3C13D7E1" w14:textId="77777777" w:rsidR="00C30C2C" w:rsidRDefault="00C30C2C"/>
    <w:p w14:paraId="629D94C5" w14:textId="7842010E" w:rsidR="00FB2570" w:rsidRPr="008108ED" w:rsidRDefault="00FB2570" w:rsidP="00FB2570">
      <w:pPr>
        <w:jc w:val="right"/>
        <w:rPr>
          <w:rFonts w:ascii="Times New Roman" w:hAnsi="Times New Roman" w:cs="Times New Roman"/>
          <w:i/>
          <w:iCs/>
          <w:sz w:val="24"/>
          <w:szCs w:val="24"/>
        </w:rPr>
      </w:pPr>
      <w:r>
        <w:rPr>
          <w:rFonts w:ascii="Times New Roman" w:hAnsi="Times New Roman" w:cs="Times New Roman"/>
          <w:i/>
          <w:iCs/>
          <w:sz w:val="24"/>
          <w:szCs w:val="24"/>
        </w:rPr>
        <w:t>Revised March 2024</w:t>
      </w:r>
    </w:p>
    <w:sectPr w:rsidR="00FB2570" w:rsidRPr="00810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70"/>
    <w:rsid w:val="00235FFF"/>
    <w:rsid w:val="00695F6A"/>
    <w:rsid w:val="006E771A"/>
    <w:rsid w:val="008108ED"/>
    <w:rsid w:val="00BC67C9"/>
    <w:rsid w:val="00C30C2C"/>
    <w:rsid w:val="00DB7C92"/>
    <w:rsid w:val="00EB3BF7"/>
    <w:rsid w:val="00FB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E4BCB"/>
  <w15:chartTrackingRefBased/>
  <w15:docId w15:val="{5BDE688B-E90B-4B71-A7F0-D138F4DE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570"/>
    <w:pPr>
      <w:spacing w:after="160" w:line="259" w:lineRule="auto"/>
    </w:pPr>
    <w:rPr>
      <w:rFonts w:asciiTheme="minorHAnsi" w:hAnsiTheme="minorHAnsi" w:cstheme="minorBidi"/>
      <w:kern w:val="0"/>
      <w:sz w:val="22"/>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after="0"/>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paragraph" w:styleId="Revision">
    <w:name w:val="Revision"/>
    <w:hidden/>
    <w:uiPriority w:val="99"/>
    <w:semiHidden/>
    <w:rsid w:val="00FB2570"/>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2</cp:revision>
  <dcterms:created xsi:type="dcterms:W3CDTF">2024-05-21T01:05:00Z</dcterms:created>
  <dcterms:modified xsi:type="dcterms:W3CDTF">2024-05-21T01:18:00Z</dcterms:modified>
</cp:coreProperties>
</file>