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917A" w14:textId="7A398201" w:rsidR="000C19AE" w:rsidRDefault="000C19AE" w:rsidP="000C19AE">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17"/>
      <w:r>
        <w:rPr>
          <w:rFonts w:ascii="Times New Roman" w:hAnsi="Times New Roman" w:cs="Times New Roman"/>
          <w:b/>
          <w:bCs/>
          <w:sz w:val="24"/>
          <w:szCs w:val="24"/>
        </w:rPr>
        <w:t>12.14 ADA—Damages</w:t>
      </w:r>
      <w:bookmarkEnd w:id="0"/>
    </w:p>
    <w:p w14:paraId="0E44C1AD" w14:textId="77777777" w:rsidR="000C19AE" w:rsidRDefault="000C19AE" w:rsidP="000C19AE">
      <w:pPr>
        <w:spacing w:after="0" w:line="240" w:lineRule="auto"/>
        <w:rPr>
          <w:rFonts w:ascii="Times New Roman" w:hAnsi="Times New Roman" w:cs="Times New Roman"/>
          <w:sz w:val="24"/>
        </w:rPr>
      </w:pPr>
    </w:p>
    <w:p w14:paraId="7EC6C0D7" w14:textId="77777777" w:rsidR="000C19AE" w:rsidRDefault="000C19AE" w:rsidP="000C19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Comment</w:t>
      </w:r>
    </w:p>
    <w:p w14:paraId="29E104BF" w14:textId="77777777" w:rsidR="000C19AE" w:rsidRDefault="000C19AE" w:rsidP="000C19AE">
      <w:pPr>
        <w:spacing w:after="0" w:line="240" w:lineRule="auto"/>
        <w:rPr>
          <w:rFonts w:ascii="Times New Roman" w:hAnsi="Times New Roman" w:cs="Times New Roman"/>
          <w:sz w:val="24"/>
        </w:rPr>
      </w:pPr>
    </w:p>
    <w:p w14:paraId="387FEAFB" w14:textId="50BF14A5"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See </w:t>
      </w:r>
      <w:r>
        <w:rPr>
          <w:rFonts w:ascii="Times New Roman" w:hAnsi="Times New Roman" w:cs="Times New Roman"/>
          <w:sz w:val="24"/>
          <w:szCs w:val="24"/>
        </w:rPr>
        <w:t xml:space="preserve">Chapter 5 (“Damages”) for damage instructions. </w:t>
      </w:r>
      <w:r>
        <w:rPr>
          <w:rFonts w:ascii="Times New Roman" w:hAnsi="Times New Roman" w:cs="Times New Roman"/>
          <w:i/>
          <w:iCs/>
          <w:sz w:val="24"/>
          <w:szCs w:val="24"/>
        </w:rPr>
        <w:t>See also</w:t>
      </w:r>
      <w:r>
        <w:rPr>
          <w:rFonts w:ascii="Times New Roman" w:hAnsi="Times New Roman" w:cs="Times New Roman"/>
          <w:sz w:val="24"/>
          <w:szCs w:val="24"/>
        </w:rPr>
        <w:t xml:space="preserve"> 42 U.S.C. § 12117(a) (applying powers, remedies, and enforcement provisions of Title VII to any person alleging employment discrimination on basis of disability).</w:t>
      </w:r>
    </w:p>
    <w:p w14:paraId="1E665FA0"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586F38B1" w14:textId="6F2BC84D"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See</w:t>
      </w:r>
      <w:r>
        <w:rPr>
          <w:rFonts w:ascii="Times New Roman" w:hAnsi="Times New Roman" w:cs="Times New Roman"/>
          <w:sz w:val="24"/>
          <w:szCs w:val="24"/>
        </w:rPr>
        <w:t xml:space="preserve"> 42 U.S.C. § 1981a (b) (providing for recovery of compensatory and punitive damages). Indeed, </w:t>
      </w:r>
    </w:p>
    <w:p w14:paraId="3DDEC7A7"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269E13FB" w14:textId="77777777" w:rsidR="000C19AE" w:rsidRDefault="000C19AE" w:rsidP="000C19AE">
      <w:pPr>
        <w:autoSpaceDE w:val="0"/>
        <w:autoSpaceDN w:val="0"/>
        <w:adjustRightInd w:val="0"/>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A complaining party may recover punitive damages under this section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p>
    <w:p w14:paraId="19715482"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2BC3CE47" w14:textId="189F5750"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U.S.C. § 1981a (b)(1). In addition, a district court may award nominal damages in an ADA retaliation claim as equitable relief. </w:t>
      </w:r>
      <w:r>
        <w:rPr>
          <w:rFonts w:ascii="Times New Roman" w:hAnsi="Times New Roman" w:cs="Times New Roman"/>
          <w:i/>
          <w:iCs/>
          <w:sz w:val="24"/>
          <w:szCs w:val="24"/>
        </w:rPr>
        <w:t>Bayer v. Neiman Marcus Grp., Inc</w:t>
      </w:r>
      <w:r>
        <w:rPr>
          <w:rFonts w:ascii="Times New Roman" w:hAnsi="Times New Roman" w:cs="Times New Roman"/>
          <w:sz w:val="24"/>
          <w:szCs w:val="24"/>
        </w:rPr>
        <w:t>., 861 F.3d 853, 874 (9th Cir. 2017).</w:t>
      </w:r>
    </w:p>
    <w:p w14:paraId="11CD4579"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0AEEF7F8" w14:textId="33E549F7"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See</w:t>
      </w:r>
      <w:r>
        <w:rPr>
          <w:rFonts w:ascii="Times New Roman" w:hAnsi="Times New Roman" w:cs="Times New Roman"/>
          <w:sz w:val="24"/>
          <w:szCs w:val="24"/>
        </w:rPr>
        <w:t xml:space="preserve"> 42 U.S.C. § 1981a(b)(3) (limiting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damages recoverable based on a defendant’s employee base). These limits do not apply to back pay or front pay, which are awarded under 42 U.S.C. § 2000e-5(g)(1), not 42 U.S.C. § 1981a. </w:t>
      </w:r>
      <w:r>
        <w:rPr>
          <w:rFonts w:ascii="Times New Roman" w:hAnsi="Times New Roman" w:cs="Times New Roman"/>
          <w:i/>
          <w:iCs/>
          <w:sz w:val="24"/>
          <w:szCs w:val="24"/>
        </w:rPr>
        <w:t>See Pollard v. E.I. du Pont de Nemours &amp; Company</w:t>
      </w:r>
      <w:r>
        <w:rPr>
          <w:rFonts w:ascii="Times New Roman" w:hAnsi="Times New Roman" w:cs="Times New Roman"/>
          <w:sz w:val="24"/>
          <w:szCs w:val="24"/>
        </w:rPr>
        <w:t>, 532 U.S. 843, 848 (2001).</w:t>
      </w:r>
    </w:p>
    <w:p w14:paraId="0CABA3BD"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2FB53771"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See</w:t>
      </w:r>
      <w:r>
        <w:rPr>
          <w:rFonts w:ascii="Times New Roman" w:hAnsi="Times New Roman" w:cs="Times New Roman"/>
          <w:sz w:val="24"/>
          <w:szCs w:val="24"/>
        </w:rPr>
        <w:t xml:space="preserve"> 42 U.S.C. § 1981a(c)(2) (requiring that limits on damages not be disclosed to the jury).</w:t>
      </w:r>
    </w:p>
    <w:p w14:paraId="561CC337"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2879F4AA" w14:textId="73352FDB"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Ninth Circuit has held in the ADA context that back pay constitutes equitable relief within the discretion of the court, not the jury. </w:t>
      </w:r>
      <w:r>
        <w:rPr>
          <w:rFonts w:ascii="Times New Roman" w:hAnsi="Times New Roman" w:cs="Times New Roman"/>
          <w:i/>
          <w:iCs/>
          <w:sz w:val="24"/>
          <w:szCs w:val="24"/>
        </w:rPr>
        <w:t>See Lutz v. Glendale Union High Sch</w:t>
      </w:r>
      <w:r>
        <w:rPr>
          <w:rFonts w:ascii="Times New Roman" w:hAnsi="Times New Roman" w:cs="Times New Roman"/>
          <w:sz w:val="24"/>
          <w:szCs w:val="24"/>
        </w:rPr>
        <w:t xml:space="preserve">., 403 F.3d 1061, 1069 (9th Cir. 2005) (holding that under the ADA, “there is no right to have a jury determine the appropriate amount of back pay,” which “remains an equitable remedy to be awarded by the district court in its discretion”). Although the Ninth Circuit has not directly addressed the issue, precedent indicates that front pay is also within the discretion of the court, not the jury. In the ADA context, front pay constitutes equitable relief. </w:t>
      </w:r>
      <w:r>
        <w:rPr>
          <w:rFonts w:ascii="Times New Roman" w:hAnsi="Times New Roman" w:cs="Times New Roman"/>
          <w:i/>
          <w:iCs/>
          <w:sz w:val="24"/>
          <w:szCs w:val="24"/>
        </w:rPr>
        <w:t>See Bayer v. Neiman Marcus Grp., Inc</w:t>
      </w:r>
      <w:r>
        <w:rPr>
          <w:rFonts w:ascii="Times New Roman" w:hAnsi="Times New Roman" w:cs="Times New Roman"/>
          <w:sz w:val="24"/>
          <w:szCs w:val="24"/>
        </w:rPr>
        <w:t xml:space="preserve">., 861 F.3d 853, 866 (9th Cir. 2017) (citing </w:t>
      </w:r>
      <w:r>
        <w:rPr>
          <w:rFonts w:ascii="Times New Roman" w:hAnsi="Times New Roman" w:cs="Times New Roman"/>
          <w:i/>
          <w:iCs/>
          <w:sz w:val="24"/>
          <w:szCs w:val="24"/>
        </w:rPr>
        <w:t>Pollard</w:t>
      </w:r>
      <w:r>
        <w:rPr>
          <w:rFonts w:ascii="Times New Roman" w:hAnsi="Times New Roman" w:cs="Times New Roman"/>
          <w:sz w:val="24"/>
          <w:szCs w:val="24"/>
        </w:rPr>
        <w:t xml:space="preserve">, 532 U.S. at 849-51) (stating in the ADA context that “money damages in the form of front pay are equitable when awarded in lieu of injunctive reinstatement”). Further, in a related context, the Ninth Circuit has indicated that front pay must be decided by the court, not the jury. </w:t>
      </w:r>
      <w:r>
        <w:rPr>
          <w:rFonts w:ascii="Times New Roman" w:hAnsi="Times New Roman" w:cs="Times New Roman"/>
          <w:i/>
          <w:iCs/>
          <w:sz w:val="24"/>
          <w:szCs w:val="24"/>
        </w:rPr>
        <w:t>See</w:t>
      </w:r>
      <w:r>
        <w:rPr>
          <w:rFonts w:ascii="Times New Roman" w:hAnsi="Times New Roman" w:cs="Times New Roman"/>
          <w:sz w:val="24"/>
          <w:szCs w:val="24"/>
        </w:rPr>
        <w:t xml:space="preserve"> </w:t>
      </w:r>
      <w:r>
        <w:rPr>
          <w:rFonts w:ascii="Times New Roman" w:hAnsi="Times New Roman" w:cs="Times New Roman"/>
          <w:i/>
          <w:iCs/>
          <w:sz w:val="24"/>
          <w:szCs w:val="24"/>
        </w:rPr>
        <w:t>Traxler v. Multnomah County</w:t>
      </w:r>
      <w:r>
        <w:rPr>
          <w:rFonts w:ascii="Times New Roman" w:hAnsi="Times New Roman" w:cs="Times New Roman"/>
          <w:sz w:val="24"/>
          <w:szCs w:val="24"/>
        </w:rPr>
        <w:t xml:space="preserve">, 596 F.3d 1007, 1011-12 (9th Cir. 2010) (explaining in the context of an FMLA case that “front pay is an equitable remedy that must be determined by the court, both as to the availability of the remedy and the amount of any award” and that front pay is different from compensatory damages). A court may, however, empanel an advisory jury. </w:t>
      </w:r>
      <w:r>
        <w:rPr>
          <w:rFonts w:ascii="Times New Roman" w:hAnsi="Times New Roman" w:cs="Times New Roman"/>
          <w:i/>
          <w:iCs/>
          <w:sz w:val="24"/>
          <w:szCs w:val="24"/>
        </w:rPr>
        <w:t>See id</w:t>
      </w:r>
      <w:r>
        <w:rPr>
          <w:rFonts w:ascii="Times New Roman" w:hAnsi="Times New Roman" w:cs="Times New Roman"/>
          <w:sz w:val="24"/>
          <w:szCs w:val="24"/>
        </w:rPr>
        <w:t>. at 1013; Fed. R. Civ. P. 39(c).</w:t>
      </w:r>
    </w:p>
    <w:p w14:paraId="69ABF5DF"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p>
    <w:p w14:paraId="05045D3B" w14:textId="77777777" w:rsidR="000C19AE" w:rsidRDefault="000C19AE" w:rsidP="000C19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i/>
          <w:iCs/>
          <w:sz w:val="24"/>
          <w:szCs w:val="24"/>
        </w:rPr>
        <w:t xml:space="preserve">See also </w:t>
      </w:r>
      <w:r>
        <w:rPr>
          <w:rFonts w:ascii="Times New Roman" w:hAnsi="Times New Roman" w:cs="Times New Roman"/>
          <w:sz w:val="24"/>
          <w:szCs w:val="24"/>
        </w:rPr>
        <w:t>the Introductory Comment to Chapter 10 (“Civil Rights—Title VII—Employment Discrimination; Harassment; Retaliation”) and the Introductory Comment to this chapter.</w:t>
      </w:r>
    </w:p>
    <w:p w14:paraId="13796585" w14:textId="77777777" w:rsidR="000C19AE" w:rsidRDefault="000C19AE" w:rsidP="000C19AE">
      <w:pPr>
        <w:rPr>
          <w:rFonts w:ascii="Times New Roman" w:hAnsi="Times New Roman" w:cs="Times New Roman"/>
          <w:sz w:val="24"/>
          <w:szCs w:val="24"/>
        </w:rPr>
      </w:pPr>
    </w:p>
    <w:p w14:paraId="18C1047C" w14:textId="4444DFBC" w:rsidR="00C30C2C" w:rsidRPr="00CE350C" w:rsidRDefault="000C19AE" w:rsidP="000C19AE">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C30C2C" w:rsidRPr="00CE3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AE"/>
    <w:rsid w:val="000C19AE"/>
    <w:rsid w:val="00235FFF"/>
    <w:rsid w:val="00695F6A"/>
    <w:rsid w:val="006E771A"/>
    <w:rsid w:val="00BC67C9"/>
    <w:rsid w:val="00C30C2C"/>
    <w:rsid w:val="00CE350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C623F"/>
  <w15:chartTrackingRefBased/>
  <w15:docId w15:val="{8285CB5F-4899-44E3-92AA-E5D3CB85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9AE"/>
    <w:pPr>
      <w:spacing w:after="160" w:line="256"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line="259" w:lineRule="auto"/>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0C19AE"/>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2024-05-21T01:07:00Z</dcterms:created>
  <dcterms:modified xsi:type="dcterms:W3CDTF">2024-05-21T01:21:00Z</dcterms:modified>
</cp:coreProperties>
</file>