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1E895" w14:textId="4747275B" w:rsidR="00D62188" w:rsidRPr="00F43EB2" w:rsidRDefault="00D62188" w:rsidP="00D62188">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04"/>
      <w:r w:rsidRPr="00F43EB2">
        <w:rPr>
          <w:rFonts w:ascii="Times New Roman" w:hAnsi="Times New Roman" w:cs="Times New Roman"/>
          <w:b/>
          <w:bCs/>
          <w:sz w:val="24"/>
          <w:szCs w:val="24"/>
        </w:rPr>
        <w:t>12.1 ADA Employment Actions—Actual Disability—Elements</w:t>
      </w:r>
      <w:bookmarkEnd w:id="0"/>
    </w:p>
    <w:p w14:paraId="6E24754B" w14:textId="77777777" w:rsidR="00D62188" w:rsidRPr="00F43EB2" w:rsidRDefault="00D62188" w:rsidP="00D62188">
      <w:pPr>
        <w:spacing w:after="0" w:line="240" w:lineRule="auto"/>
        <w:rPr>
          <w:rFonts w:ascii="Times New Roman" w:hAnsi="Times New Roman" w:cs="Times New Roman"/>
          <w:sz w:val="24"/>
        </w:rPr>
      </w:pPr>
    </w:p>
    <w:p w14:paraId="07B49DEF"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plaintiff claims that [his] [her] [</w:t>
      </w:r>
      <w:r w:rsidRPr="00F43EB2">
        <w:rPr>
          <w:rFonts w:ascii="Times New Roman" w:hAnsi="Times New Roman" w:cs="Times New Roman"/>
          <w:i/>
          <w:iCs/>
          <w:sz w:val="24"/>
          <w:szCs w:val="24"/>
          <w:u w:val="single"/>
        </w:rPr>
        <w:t xml:space="preserve">other </w:t>
      </w:r>
      <w:r w:rsidRPr="00471263">
        <w:rPr>
          <w:rFonts w:ascii="Times New Roman" w:hAnsi="Times New Roman" w:cs="Times New Roman"/>
          <w:i/>
          <w:iCs/>
          <w:sz w:val="24"/>
          <w:szCs w:val="24"/>
        </w:rPr>
        <w:t>pronoun</w:t>
      </w:r>
      <w:r w:rsidRPr="00F43EB2">
        <w:rPr>
          <w:rFonts w:ascii="Times New Roman" w:hAnsi="Times New Roman" w:cs="Times New Roman"/>
          <w:sz w:val="24"/>
          <w:szCs w:val="24"/>
        </w:rPr>
        <w:t>] disability was the reason for the defendant’s decision to [discharge] [not hire] [not promote] [demote] [</w:t>
      </w:r>
      <w:r w:rsidRPr="00F43EB2">
        <w:rPr>
          <w:rFonts w:ascii="Times New Roman" w:hAnsi="Times New Roman" w:cs="Times New Roman"/>
          <w:i/>
          <w:iCs/>
          <w:sz w:val="24"/>
          <w:szCs w:val="24"/>
          <w:u w:val="single"/>
        </w:rPr>
        <w:t>state other adverse action</w:t>
      </w:r>
      <w:r w:rsidRPr="00F43EB2">
        <w:rPr>
          <w:rFonts w:ascii="Times New Roman" w:hAnsi="Times New Roman" w:cs="Times New Roman"/>
          <w:sz w:val="24"/>
          <w:szCs w:val="24"/>
        </w:rPr>
        <w:t>] [him] [her] [</w:t>
      </w:r>
      <w:proofErr w:type="gramStart"/>
      <w:r w:rsidRPr="00F43EB2">
        <w:rPr>
          <w:rFonts w:ascii="Times New Roman" w:hAnsi="Times New Roman" w:cs="Times New Roman"/>
          <w:i/>
          <w:iCs/>
          <w:sz w:val="24"/>
          <w:szCs w:val="24"/>
          <w:u w:val="single"/>
        </w:rPr>
        <w:t>other</w:t>
      </w:r>
      <w:proofErr w:type="gramEnd"/>
      <w:r w:rsidRPr="00F43EB2">
        <w:rPr>
          <w:rFonts w:ascii="Times New Roman" w:hAnsi="Times New Roman" w:cs="Times New Roman"/>
          <w:i/>
          <w:iCs/>
          <w:sz w:val="24"/>
          <w:szCs w:val="24"/>
          <w:u w:val="single"/>
        </w:rPr>
        <w:t xml:space="preserve"> pronoun</w:t>
      </w:r>
      <w:r w:rsidRPr="00F43EB2">
        <w:rPr>
          <w:rFonts w:ascii="Times New Roman" w:hAnsi="Times New Roman" w:cs="Times New Roman"/>
          <w:sz w:val="24"/>
          <w:szCs w:val="24"/>
        </w:rPr>
        <w:t>]. To succeed on this claim, the plaintiff has the burden of proving each of the following four elements by a preponderance of the evidence:</w:t>
      </w:r>
    </w:p>
    <w:p w14:paraId="371B8BA7"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36C9577E" w14:textId="2464FBB5"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 xml:space="preserve">First, the plaintiff has a physical or mental </w:t>
      </w:r>
      <w:proofErr w:type="gramStart"/>
      <w:r w:rsidRPr="00F43EB2">
        <w:rPr>
          <w:rFonts w:ascii="Times New Roman" w:hAnsi="Times New Roman" w:cs="Times New Roman"/>
          <w:sz w:val="24"/>
          <w:szCs w:val="24"/>
        </w:rPr>
        <w:t>impairment;</w:t>
      </w:r>
      <w:proofErr w:type="gramEnd"/>
    </w:p>
    <w:p w14:paraId="652E3DBC" w14:textId="77777777"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3A0341A5" w14:textId="49490E28"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 xml:space="preserve">Second, such physical or mental impairment substantially limited one or more major life </w:t>
      </w:r>
      <w:proofErr w:type="gramStart"/>
      <w:r w:rsidRPr="00F43EB2">
        <w:rPr>
          <w:rFonts w:ascii="Times New Roman" w:hAnsi="Times New Roman" w:cs="Times New Roman"/>
          <w:sz w:val="24"/>
          <w:szCs w:val="24"/>
        </w:rPr>
        <w:t>activities;</w:t>
      </w:r>
      <w:proofErr w:type="gramEnd"/>
    </w:p>
    <w:p w14:paraId="29FA2372" w14:textId="77777777"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7C2E9158" w14:textId="26541F9A"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Third, the plaintiff was a qualified individual as that term is later defined in these instructions; and</w:t>
      </w:r>
    </w:p>
    <w:p w14:paraId="218AE15F" w14:textId="77777777"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67F4AB7D" w14:textId="78DCC907" w:rsidR="00D62188" w:rsidRPr="00F43EB2" w:rsidRDefault="00D62188" w:rsidP="00D6218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Fourth, the plaintiff was [[discharged] [not hired] [not promoted] [demoted] [</w:t>
      </w:r>
      <w:r w:rsidRPr="00F43EB2">
        <w:rPr>
          <w:rFonts w:ascii="Times New Roman" w:hAnsi="Times New Roman" w:cs="Times New Roman"/>
          <w:i/>
          <w:iCs/>
          <w:sz w:val="24"/>
          <w:szCs w:val="24"/>
          <w:u w:val="single"/>
        </w:rPr>
        <w:t>state other adverse action</w:t>
      </w:r>
      <w:r w:rsidRPr="00F43EB2">
        <w:rPr>
          <w:rFonts w:ascii="Times New Roman" w:hAnsi="Times New Roman" w:cs="Times New Roman"/>
          <w:sz w:val="24"/>
          <w:szCs w:val="24"/>
        </w:rPr>
        <w:t>] because of [his] [her]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physical or mental impairment.</w:t>
      </w:r>
    </w:p>
    <w:p w14:paraId="3063BA2B"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7CE9E2B4" w14:textId="5EF35EED"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you find that the plaintiff has proved each of these elements, your verdict should be for the plaintiff. If, on the other hand, the plaintiff has failed to prove any of these elements, your verdict should be for the defendant.</w:t>
      </w:r>
    </w:p>
    <w:p w14:paraId="33AB007D"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423E80DE"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Major life activities are the normal activities of living that a nondisabled</w:t>
      </w:r>
      <w:r w:rsidRPr="00F43EB2">
        <w:rPr>
          <w:rFonts w:ascii="Times New Roman" w:hAnsi="Times New Roman" w:cs="Times New Roman"/>
          <w:b/>
          <w:bCs/>
          <w:sz w:val="24"/>
          <w:szCs w:val="24"/>
        </w:rPr>
        <w:t xml:space="preserve"> </w:t>
      </w:r>
      <w:r w:rsidRPr="00F43EB2">
        <w:rPr>
          <w:rFonts w:ascii="Times New Roman" w:hAnsi="Times New Roman" w:cs="Times New Roman"/>
          <w:sz w:val="24"/>
          <w:szCs w:val="24"/>
        </w:rPr>
        <w:t>person can do with little or no difficulty, such as [</w:t>
      </w:r>
      <w:r w:rsidRPr="00F43EB2">
        <w:rPr>
          <w:rFonts w:ascii="Times New Roman" w:hAnsi="Times New Roman" w:cs="Times New Roman"/>
          <w:i/>
          <w:iCs/>
          <w:sz w:val="24"/>
          <w:szCs w:val="24"/>
          <w:u w:val="single"/>
        </w:rPr>
        <w:t>specify applicable major life activities</w:t>
      </w:r>
      <w:r w:rsidRPr="00F43EB2">
        <w:rPr>
          <w:rFonts w:ascii="Times New Roman" w:hAnsi="Times New Roman" w:cs="Times New Roman"/>
          <w:sz w:val="24"/>
          <w:szCs w:val="24"/>
        </w:rPr>
        <w:t>].</w:t>
      </w:r>
      <w:r w:rsidRPr="00F43EB2">
        <w:rPr>
          <w:rFonts w:ascii="Times New Roman" w:hAnsi="Times New Roman" w:cs="Times New Roman"/>
          <w:sz w:val="24"/>
          <w:szCs w:val="24"/>
        </w:rPr>
        <w:br/>
      </w:r>
    </w:p>
    <w:p w14:paraId="72E2AD18"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7D1779DC" w14:textId="77777777" w:rsidR="00D62188" w:rsidRPr="00F43EB2" w:rsidRDefault="00D62188" w:rsidP="00D62188">
      <w:pPr>
        <w:autoSpaceDE w:val="0"/>
        <w:autoSpaceDN w:val="0"/>
        <w:adjustRightInd w:val="0"/>
        <w:spacing w:after="0" w:line="240" w:lineRule="auto"/>
        <w:jc w:val="center"/>
        <w:rPr>
          <w:rFonts w:ascii="Times New Roman" w:hAnsi="Times New Roman" w:cs="Times New Roman"/>
          <w:b/>
          <w:bCs/>
          <w:sz w:val="24"/>
          <w:szCs w:val="24"/>
        </w:rPr>
      </w:pPr>
      <w:r w:rsidRPr="00F43EB2">
        <w:rPr>
          <w:rFonts w:ascii="Times New Roman" w:hAnsi="Times New Roman" w:cs="Times New Roman"/>
          <w:b/>
          <w:bCs/>
          <w:sz w:val="24"/>
          <w:szCs w:val="24"/>
        </w:rPr>
        <w:t>Comment</w:t>
      </w:r>
    </w:p>
    <w:p w14:paraId="08AAEEC7"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2096F387"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Major life activities are defined in § 12102(2)(A)-(B) and include caring for oneself, performing manual tasks, seeing, hearing, eating, sleeping, walking, standing, lifting, bending, speaking, breathing, learning, reading, concentrating, thinking, communicating, working, and the operation of a major bodily function such as the immune system, normal cell growth, digestive, bowel, bladder, neurological, brain, respiratory, circulatory, endocrine, and reproductive functions. The Ninth Circuit has recognized interacting with others as a major life activity. </w:t>
      </w:r>
      <w:r w:rsidRPr="00F43EB2">
        <w:rPr>
          <w:rFonts w:ascii="Times New Roman" w:hAnsi="Times New Roman" w:cs="Times New Roman"/>
          <w:i/>
          <w:iCs/>
          <w:sz w:val="24"/>
          <w:szCs w:val="24"/>
        </w:rPr>
        <w:t>Weaving v. City of Hillsboro</w:t>
      </w:r>
      <w:r w:rsidRPr="00F43EB2">
        <w:rPr>
          <w:rFonts w:ascii="Times New Roman" w:hAnsi="Times New Roman" w:cs="Times New Roman"/>
          <w:sz w:val="24"/>
          <w:szCs w:val="24"/>
        </w:rPr>
        <w:t>, 763 F.3d 1106, 1112 (9th Cir. 2014). Whether obesity without an underlying physiological cause is an impairment under the ADA is unclear.</w:t>
      </w:r>
      <w:r w:rsidRPr="00F43EB2">
        <w:rPr>
          <w:rFonts w:ascii="Times New Roman" w:hAnsi="Times New Roman" w:cs="Times New Roman"/>
          <w:i/>
          <w:iCs/>
          <w:sz w:val="24"/>
          <w:szCs w:val="24"/>
        </w:rPr>
        <w:t xml:space="preserve"> See </w:t>
      </w:r>
      <w:proofErr w:type="spellStart"/>
      <w:r w:rsidRPr="00F43EB2">
        <w:rPr>
          <w:rFonts w:ascii="Times New Roman" w:hAnsi="Times New Roman" w:cs="Times New Roman"/>
          <w:i/>
          <w:iCs/>
          <w:sz w:val="24"/>
          <w:szCs w:val="24"/>
        </w:rPr>
        <w:t>Valtierra</w:t>
      </w:r>
      <w:proofErr w:type="spellEnd"/>
      <w:r w:rsidRPr="00F43EB2">
        <w:rPr>
          <w:rFonts w:ascii="Times New Roman" w:hAnsi="Times New Roman" w:cs="Times New Roman"/>
          <w:i/>
          <w:iCs/>
          <w:sz w:val="24"/>
          <w:szCs w:val="24"/>
        </w:rPr>
        <w:t xml:space="preserve"> v. Medtronic, Inc</w:t>
      </w:r>
      <w:r w:rsidRPr="00F43EB2">
        <w:rPr>
          <w:rFonts w:ascii="Times New Roman" w:hAnsi="Times New Roman" w:cs="Times New Roman"/>
          <w:sz w:val="24"/>
          <w:szCs w:val="24"/>
        </w:rPr>
        <w:t>., 934 F.3d 1089 (9th Cir. 2019).</w:t>
      </w:r>
    </w:p>
    <w:p w14:paraId="5A095476"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32FA2B94" w14:textId="77777777" w:rsidR="00D62188" w:rsidRPr="00F43EB2" w:rsidRDefault="00D62188" w:rsidP="00D62188">
      <w:pPr>
        <w:autoSpaceDE w:val="0"/>
        <w:autoSpaceDN w:val="0"/>
        <w:adjustRightInd w:val="0"/>
        <w:spacing w:after="0" w:line="240" w:lineRule="auto"/>
        <w:ind w:firstLine="720"/>
        <w:rPr>
          <w:rFonts w:ascii="Times New Roman" w:hAnsi="Times New Roman" w:cs="Times New Roman"/>
          <w:sz w:val="24"/>
          <w:szCs w:val="24"/>
        </w:rPr>
      </w:pPr>
      <w:r w:rsidRPr="00F43EB2">
        <w:rPr>
          <w:rFonts w:ascii="Times New Roman" w:hAnsi="Times New Roman" w:cs="Times New Roman"/>
          <w:sz w:val="24"/>
          <w:szCs w:val="24"/>
        </w:rPr>
        <w:t>“[A]</w:t>
      </w:r>
      <w:proofErr w:type="spellStart"/>
      <w:r w:rsidRPr="00F43EB2">
        <w:rPr>
          <w:rFonts w:ascii="Times New Roman" w:hAnsi="Times New Roman" w:cs="Times New Roman"/>
          <w:sz w:val="24"/>
          <w:szCs w:val="24"/>
        </w:rPr>
        <w:t>lthough</w:t>
      </w:r>
      <w:proofErr w:type="spellEnd"/>
      <w:r w:rsidRPr="00F43EB2">
        <w:rPr>
          <w:rFonts w:ascii="Times New Roman" w:hAnsi="Times New Roman" w:cs="Times New Roman"/>
          <w:sz w:val="24"/>
          <w:szCs w:val="24"/>
        </w:rPr>
        <w:t xml:space="preserve"> the ‘duration of an impairment’ remains ‘one factor that is relevant in determining whether the impairment substantially limits a major life activity,’” </w:t>
      </w:r>
      <w:r w:rsidRPr="00F43EB2">
        <w:rPr>
          <w:rFonts w:ascii="Times New Roman" w:hAnsi="Times New Roman" w:cs="Times New Roman"/>
          <w:i/>
          <w:iCs/>
          <w:sz w:val="24"/>
          <w:szCs w:val="24"/>
        </w:rPr>
        <w:t>Shields v. Credit One</w:t>
      </w:r>
      <w:r w:rsidRPr="00F43EB2">
        <w:rPr>
          <w:rFonts w:ascii="Times New Roman" w:hAnsi="Times New Roman" w:cs="Times New Roman"/>
          <w:sz w:val="24"/>
          <w:szCs w:val="24"/>
        </w:rPr>
        <w:t xml:space="preserve"> </w:t>
      </w:r>
      <w:r w:rsidRPr="00F43EB2">
        <w:rPr>
          <w:rFonts w:ascii="Times New Roman" w:hAnsi="Times New Roman" w:cs="Times New Roman"/>
          <w:i/>
          <w:iCs/>
          <w:sz w:val="24"/>
          <w:szCs w:val="24"/>
        </w:rPr>
        <w:t>Bank, N.A.</w:t>
      </w:r>
      <w:r w:rsidRPr="00F43EB2">
        <w:rPr>
          <w:rFonts w:ascii="Times New Roman" w:hAnsi="Times New Roman" w:cs="Times New Roman"/>
          <w:sz w:val="24"/>
          <w:szCs w:val="24"/>
        </w:rPr>
        <w:t xml:space="preserve">, 32 F.4th 1218, 1225 (9th Cir. 2022) (citation omitted), a plaintiff need not establish permanent or long-term effects, </w:t>
      </w:r>
      <w:r w:rsidRPr="00F43EB2">
        <w:rPr>
          <w:rFonts w:ascii="Times New Roman" w:hAnsi="Times New Roman" w:cs="Times New Roman"/>
          <w:i/>
          <w:iCs/>
          <w:sz w:val="24"/>
          <w:szCs w:val="24"/>
        </w:rPr>
        <w:t xml:space="preserve">id. </w:t>
      </w:r>
      <w:r w:rsidRPr="00F43EB2">
        <w:rPr>
          <w:rFonts w:ascii="Times New Roman" w:hAnsi="Times New Roman" w:cs="Times New Roman"/>
          <w:sz w:val="24"/>
          <w:szCs w:val="24"/>
        </w:rPr>
        <w:t>at 1224.</w:t>
      </w:r>
    </w:p>
    <w:p w14:paraId="42669825"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74E792F0"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term “substantially limits” must be interpreted consistently with the ADAA.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 12102(4)(B). “‘An impairment is a disability . . . if it substantially limits the ability of an individual to perform a major life activity as compared to most people in the general population. </w:t>
      </w:r>
      <w:r w:rsidRPr="00F43EB2">
        <w:rPr>
          <w:rFonts w:ascii="Times New Roman" w:hAnsi="Times New Roman" w:cs="Times New Roman"/>
          <w:sz w:val="24"/>
          <w:szCs w:val="24"/>
        </w:rPr>
        <w:lastRenderedPageBreak/>
        <w:t xml:space="preserve">An impairment need not prevent, or significantly or severely restrict, the individual from performing a major life activity in order to be considered substantially limiting.’” </w:t>
      </w:r>
      <w:r w:rsidRPr="00F43EB2">
        <w:rPr>
          <w:rFonts w:ascii="Times New Roman" w:hAnsi="Times New Roman" w:cs="Times New Roman"/>
          <w:i/>
          <w:iCs/>
          <w:sz w:val="24"/>
          <w:szCs w:val="24"/>
        </w:rPr>
        <w:t>Weaving v. City of Hillsboro</w:t>
      </w:r>
      <w:r w:rsidRPr="00F43EB2">
        <w:rPr>
          <w:rFonts w:ascii="Times New Roman" w:hAnsi="Times New Roman" w:cs="Times New Roman"/>
          <w:sz w:val="24"/>
          <w:szCs w:val="24"/>
        </w:rPr>
        <w:t>, 763 F.3d 1106, 1111 (9th Cir. 2014) (quoting 29 C.F.R. § 1630.2(j)(1)(ii)).</w:t>
      </w:r>
    </w:p>
    <w:p w14:paraId="72FCF6AC"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6D901D7E"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ADA places on the plaintiff the burden of showing that the plaintiff is qualified. The plaintiff must show the ability to perform the essential functions of the job either with or without a reasonable accommodation. 42 U.S.C. § 12112(b)(5)(A), 12111(8); </w:t>
      </w:r>
      <w:r w:rsidRPr="00F43EB2">
        <w:rPr>
          <w:rFonts w:ascii="Times New Roman" w:hAnsi="Times New Roman" w:cs="Times New Roman"/>
          <w:i/>
          <w:iCs/>
          <w:sz w:val="24"/>
          <w:szCs w:val="24"/>
        </w:rPr>
        <w:t xml:space="preserve">Smith v. Clark </w:t>
      </w:r>
      <w:proofErr w:type="spellStart"/>
      <w:r w:rsidRPr="00F43EB2">
        <w:rPr>
          <w:rFonts w:ascii="Times New Roman" w:hAnsi="Times New Roman" w:cs="Times New Roman"/>
          <w:i/>
          <w:iCs/>
          <w:sz w:val="24"/>
          <w:szCs w:val="24"/>
        </w:rPr>
        <w:t>Cnty</w:t>
      </w:r>
      <w:proofErr w:type="spellEnd"/>
      <w:r w:rsidRPr="00F43EB2">
        <w:rPr>
          <w:rFonts w:ascii="Times New Roman" w:hAnsi="Times New Roman" w:cs="Times New Roman"/>
          <w:i/>
          <w:iCs/>
          <w:sz w:val="24"/>
          <w:szCs w:val="24"/>
        </w:rPr>
        <w:t>. Sch. Dist.</w:t>
      </w:r>
      <w:r w:rsidRPr="00F43EB2">
        <w:rPr>
          <w:rFonts w:ascii="Times New Roman" w:hAnsi="Times New Roman" w:cs="Times New Roman"/>
          <w:sz w:val="24"/>
          <w:szCs w:val="24"/>
        </w:rPr>
        <w:t xml:space="preserve">, 727 F.3d 950, 955 (9th Cir. 2013); </w:t>
      </w:r>
      <w:r w:rsidRPr="00F43EB2">
        <w:rPr>
          <w:rFonts w:ascii="Times New Roman" w:hAnsi="Times New Roman" w:cs="Times New Roman"/>
          <w:i/>
          <w:iCs/>
          <w:sz w:val="24"/>
          <w:szCs w:val="24"/>
        </w:rPr>
        <w:t>Cooper v. Neiman Marcus Group</w:t>
      </w:r>
      <w:r w:rsidRPr="00F43EB2">
        <w:rPr>
          <w:rFonts w:ascii="Times New Roman" w:hAnsi="Times New Roman" w:cs="Times New Roman"/>
          <w:sz w:val="24"/>
          <w:szCs w:val="24"/>
        </w:rPr>
        <w:t>, 125 F.3d 786, 790 (9th Cir. 1997) (stating elements).</w:t>
      </w:r>
    </w:p>
    <w:p w14:paraId="4CC85219"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3C027581"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An employee who commits an act of misconduct may be fired, regardless of whether he or she is disabled within the meaning of the ADA. </w:t>
      </w:r>
      <w:r w:rsidRPr="00F43EB2">
        <w:rPr>
          <w:rFonts w:ascii="Times New Roman" w:hAnsi="Times New Roman" w:cs="Times New Roman"/>
          <w:i/>
          <w:iCs/>
          <w:sz w:val="24"/>
          <w:szCs w:val="24"/>
        </w:rPr>
        <w:t>Newland v. Dalton</w:t>
      </w:r>
      <w:r w:rsidRPr="00F43EB2">
        <w:rPr>
          <w:rFonts w:ascii="Times New Roman" w:hAnsi="Times New Roman" w:cs="Times New Roman"/>
          <w:sz w:val="24"/>
          <w:szCs w:val="24"/>
        </w:rPr>
        <w:t xml:space="preserve">, 81 F.3d 904, 906 (9th Cir. 1996) (holding that while alcoholism is a “disability” under the ADA, an employee’s arrest for criminal assault while intoxicated was a nondiscriminatory reason for termination). </w:t>
      </w:r>
    </w:p>
    <w:p w14:paraId="4562A955"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7507090D"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In </w:t>
      </w:r>
      <w:r w:rsidRPr="00F43EB2">
        <w:rPr>
          <w:rFonts w:ascii="Times New Roman" w:hAnsi="Times New Roman" w:cs="Times New Roman"/>
          <w:i/>
          <w:iCs/>
          <w:sz w:val="24"/>
          <w:szCs w:val="24"/>
        </w:rPr>
        <w:t>Raytheon v. Hernandez</w:t>
      </w:r>
      <w:r w:rsidRPr="00F43EB2">
        <w:rPr>
          <w:rFonts w:ascii="Times New Roman" w:hAnsi="Times New Roman" w:cs="Times New Roman"/>
          <w:sz w:val="24"/>
          <w:szCs w:val="24"/>
        </w:rPr>
        <w:t xml:space="preserve">, 540 U.S. 44 (2003), the Supreme Court addressed an employer’s policy not to re-hire employees who left the company for violating personal conduct rules such as illegal drug use.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at 46. Under a disparate treatment theory, a neutral “no-rehire” policy was a legitimate, nondiscriminatory reason under the ADA.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at 53-55. Because the plaintiff had failed to raise a disparate impact claim on a timely basis,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at 49, the Court held that the question of whether the neutral no-rehire policy fell more harshly on drug addicts who were successfully rehabilitated could not be considered.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at 52, 55.</w:t>
      </w:r>
    </w:p>
    <w:p w14:paraId="29F33C7F"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7364A8E1" w14:textId="77777777" w:rsidR="00D62188" w:rsidRPr="00F43EB2" w:rsidRDefault="00D62188" w:rsidP="00D62188">
      <w:pPr>
        <w:autoSpaceDE w:val="0"/>
        <w:autoSpaceDN w:val="0"/>
        <w:adjustRightInd w:val="0"/>
        <w:spacing w:after="0" w:line="240" w:lineRule="auto"/>
        <w:rPr>
          <w:rFonts w:ascii="Times New Roman" w:hAnsi="Times New Roman" w:cs="Times New Roman"/>
          <w:i/>
          <w:iCs/>
          <w:sz w:val="24"/>
          <w:szCs w:val="24"/>
        </w:rPr>
      </w:pPr>
      <w:r w:rsidRPr="00F43EB2">
        <w:rPr>
          <w:rFonts w:ascii="Times New Roman" w:hAnsi="Times New Roman" w:cs="Times New Roman"/>
          <w:sz w:val="24"/>
          <w:szCs w:val="24"/>
        </w:rPr>
        <w:tab/>
      </w:r>
      <w:proofErr w:type="gramStart"/>
      <w:r w:rsidRPr="00F43EB2">
        <w:rPr>
          <w:rFonts w:ascii="Times New Roman" w:hAnsi="Times New Roman" w:cs="Times New Roman"/>
          <w:sz w:val="24"/>
          <w:szCs w:val="24"/>
        </w:rPr>
        <w:t>Title</w:t>
      </w:r>
      <w:proofErr w:type="gramEnd"/>
      <w:r w:rsidRPr="00F43EB2">
        <w:rPr>
          <w:rFonts w:ascii="Times New Roman" w:hAnsi="Times New Roman" w:cs="Times New Roman"/>
          <w:sz w:val="24"/>
          <w:szCs w:val="24"/>
        </w:rPr>
        <w:t xml:space="preserve"> I provides that “[n]o covered entity shall discriminate against a qualified individual with a disability </w:t>
      </w:r>
      <w:r w:rsidRPr="00F43EB2">
        <w:rPr>
          <w:rFonts w:ascii="Times New Roman" w:hAnsi="Times New Roman" w:cs="Times New Roman"/>
          <w:i/>
          <w:iCs/>
          <w:sz w:val="24"/>
          <w:szCs w:val="24"/>
        </w:rPr>
        <w:t>because of</w:t>
      </w:r>
      <w:r w:rsidRPr="00F43EB2">
        <w:rPr>
          <w:rFonts w:ascii="Times New Roman" w:hAnsi="Times New Roman" w:cs="Times New Roman"/>
          <w:sz w:val="24"/>
          <w:szCs w:val="24"/>
        </w:rPr>
        <w:t xml:space="preserve"> the disability of such individual.” 42 U.S.C. § 12112(a) (emphasis added). An ADA discrimination plaintiff bringing a claim under 42 U.S.C. § 12112 must show that the adverse employment action would not have occurred but for the disability. </w:t>
      </w:r>
      <w:r w:rsidRPr="00F43EB2">
        <w:rPr>
          <w:rFonts w:ascii="Times New Roman" w:hAnsi="Times New Roman" w:cs="Times New Roman"/>
          <w:i/>
          <w:iCs/>
          <w:sz w:val="24"/>
          <w:szCs w:val="24"/>
        </w:rPr>
        <w:t>Murray v.</w:t>
      </w:r>
    </w:p>
    <w:p w14:paraId="77AFAA49"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i/>
          <w:iCs/>
          <w:sz w:val="24"/>
          <w:szCs w:val="24"/>
        </w:rPr>
        <w:t>Mayo Clinic</w:t>
      </w:r>
      <w:r w:rsidRPr="00F43EB2">
        <w:rPr>
          <w:rFonts w:ascii="Times New Roman" w:hAnsi="Times New Roman" w:cs="Times New Roman"/>
          <w:sz w:val="24"/>
          <w:szCs w:val="24"/>
        </w:rPr>
        <w:t>, 934 F.3d 1101, 1105 (9th Cir. 2019).</w:t>
      </w:r>
    </w:p>
    <w:p w14:paraId="292497C0"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7BDE6382" w14:textId="073692A3"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Supreme Court has held that in a retaliation claim under Title VII, a plaintiff “must establish that his or her protected activity was a </w:t>
      </w:r>
      <w:proofErr w:type="spellStart"/>
      <w:r w:rsidRPr="00F43EB2">
        <w:rPr>
          <w:rFonts w:ascii="Times New Roman" w:hAnsi="Times New Roman" w:cs="Times New Roman"/>
          <w:sz w:val="24"/>
          <w:szCs w:val="24"/>
        </w:rPr>
        <w:t>but</w:t>
      </w:r>
      <w:proofErr w:type="spellEnd"/>
      <w:r w:rsidRPr="00F43EB2">
        <w:rPr>
          <w:rFonts w:ascii="Times New Roman" w:hAnsi="Times New Roman" w:cs="Times New Roman"/>
          <w:sz w:val="24"/>
          <w:szCs w:val="24"/>
        </w:rPr>
        <w:t xml:space="preserve">-for cause of the alleged adverse action by the employer.” </w:t>
      </w:r>
      <w:r w:rsidRPr="00F43EB2">
        <w:rPr>
          <w:rFonts w:ascii="Times New Roman" w:hAnsi="Times New Roman" w:cs="Times New Roman"/>
          <w:i/>
          <w:iCs/>
          <w:sz w:val="24"/>
          <w:szCs w:val="24"/>
        </w:rPr>
        <w:t>University of Texas Southwestern Medical Center v. Nassar</w:t>
      </w:r>
      <w:r w:rsidRPr="00F43EB2">
        <w:rPr>
          <w:rFonts w:ascii="Times New Roman" w:hAnsi="Times New Roman" w:cs="Times New Roman"/>
          <w:sz w:val="24"/>
          <w:szCs w:val="24"/>
        </w:rPr>
        <w:t xml:space="preserve">, 570 U.S. 338, 362 (2013). The Court explained that the “because” language in the anti-retaliation provision (42 U.S.C. § 2000e3(a)) lacked any meaningful textual difference from the statutory provision at issue in </w:t>
      </w:r>
      <w:r w:rsidRPr="00F43EB2">
        <w:rPr>
          <w:rFonts w:ascii="Times New Roman" w:hAnsi="Times New Roman" w:cs="Times New Roman"/>
          <w:i/>
          <w:iCs/>
          <w:sz w:val="24"/>
          <w:szCs w:val="24"/>
        </w:rPr>
        <w:t>Gross</w:t>
      </w:r>
      <w:r w:rsidRPr="00F43EB2">
        <w:rPr>
          <w:rFonts w:ascii="Times New Roman" w:hAnsi="Times New Roman" w:cs="Times New Roman"/>
          <w:sz w:val="24"/>
          <w:szCs w:val="24"/>
        </w:rPr>
        <w:t xml:space="preserve">. 570 U.S. at 351-53; </w:t>
      </w:r>
      <w:r w:rsidRPr="00F43EB2">
        <w:rPr>
          <w:rFonts w:ascii="Times New Roman" w:hAnsi="Times New Roman" w:cs="Times New Roman"/>
          <w:i/>
          <w:iCs/>
          <w:sz w:val="24"/>
          <w:szCs w:val="24"/>
        </w:rPr>
        <w:t xml:space="preserve">see also </w:t>
      </w:r>
      <w:proofErr w:type="spellStart"/>
      <w:r w:rsidRPr="00F43EB2">
        <w:rPr>
          <w:rFonts w:ascii="Times New Roman" w:hAnsi="Times New Roman" w:cs="Times New Roman"/>
          <w:i/>
          <w:iCs/>
          <w:sz w:val="24"/>
          <w:szCs w:val="24"/>
        </w:rPr>
        <w:t>Burrage</w:t>
      </w:r>
      <w:proofErr w:type="spellEnd"/>
      <w:r w:rsidRPr="00F43EB2">
        <w:rPr>
          <w:rFonts w:ascii="Times New Roman" w:hAnsi="Times New Roman" w:cs="Times New Roman"/>
          <w:i/>
          <w:iCs/>
          <w:sz w:val="24"/>
          <w:szCs w:val="24"/>
        </w:rPr>
        <w:t xml:space="preserve"> v. United States</w:t>
      </w:r>
      <w:r w:rsidRPr="00F43EB2">
        <w:rPr>
          <w:rFonts w:ascii="Times New Roman" w:hAnsi="Times New Roman" w:cs="Times New Roman"/>
          <w:sz w:val="24"/>
          <w:szCs w:val="24"/>
        </w:rPr>
        <w:t xml:space="preserve">, 571 U.S. 204, 210-13 (2014) (defining “results from” in Controlled Substances Act to mean “but for” causation). The Ninth Circuit has applied “but for” causation in retaliation claims under the ADA. </w:t>
      </w:r>
      <w:r w:rsidRPr="00F43EB2">
        <w:rPr>
          <w:rFonts w:ascii="Times New Roman" w:hAnsi="Times New Roman" w:cs="Times New Roman"/>
          <w:i/>
          <w:iCs/>
          <w:sz w:val="24"/>
          <w:szCs w:val="24"/>
        </w:rPr>
        <w:t>T.B. v. San Diego Unified Sch. Dist.</w:t>
      </w:r>
      <w:r w:rsidRPr="00F43EB2">
        <w:rPr>
          <w:rFonts w:ascii="Times New Roman" w:hAnsi="Times New Roman" w:cs="Times New Roman"/>
          <w:sz w:val="24"/>
          <w:szCs w:val="24"/>
        </w:rPr>
        <w:t xml:space="preserve">, 795 F.3d 1067, 1088 (9th Cir. 2015). For further discussion of “but-for” causation, </w:t>
      </w:r>
      <w:r w:rsidRPr="00F43EB2">
        <w:rPr>
          <w:rFonts w:ascii="Times New Roman" w:hAnsi="Times New Roman" w:cs="Times New Roman"/>
          <w:i/>
          <w:iCs/>
          <w:sz w:val="24"/>
          <w:szCs w:val="24"/>
        </w:rPr>
        <w:t>see</w:t>
      </w:r>
      <w:r w:rsidRPr="00F43EB2">
        <w:rPr>
          <w:rFonts w:ascii="Times New Roman" w:hAnsi="Times New Roman" w:cs="Times New Roman"/>
          <w:sz w:val="24"/>
          <w:szCs w:val="24"/>
        </w:rPr>
        <w:t xml:space="preserve"> Ninth Cir. Civ. Jury Instr. 10.3 (Civil Rights—Title VII—Disparate Treatment</w:t>
      </w:r>
      <w:proofErr w:type="gramStart"/>
      <w:r w:rsidRPr="00F43EB2">
        <w:rPr>
          <w:rFonts w:ascii="Times New Roman" w:hAnsi="Times New Roman" w:cs="Times New Roman"/>
          <w:sz w:val="24"/>
          <w:szCs w:val="24"/>
        </w:rPr>
        <w:t>—“</w:t>
      </w:r>
      <w:proofErr w:type="gramEnd"/>
      <w:r w:rsidRPr="00F43EB2">
        <w:rPr>
          <w:rFonts w:ascii="Times New Roman" w:hAnsi="Times New Roman" w:cs="Times New Roman"/>
          <w:sz w:val="24"/>
          <w:szCs w:val="24"/>
        </w:rPr>
        <w:t xml:space="preserve">Because of” Defined). </w:t>
      </w:r>
    </w:p>
    <w:p w14:paraId="1D9C6C5D"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14F5E243" w14:textId="1D945A5E"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The regulations contain examples of impairments whose inherent nature “virtually always [will] be found to impose a substantial limitation on a major life activity” and, therefore, involve “simple and straightforward” individualized assessment. 29 C.F.R. § 1630.2(j)(3)(ii). The examples include: intellectual disability, which substantially limits brain function; cancer, which </w:t>
      </w:r>
      <w:r w:rsidRPr="00F43EB2">
        <w:rPr>
          <w:rFonts w:ascii="Times New Roman" w:hAnsi="Times New Roman" w:cs="Times New Roman"/>
          <w:sz w:val="24"/>
          <w:szCs w:val="24"/>
        </w:rPr>
        <w:lastRenderedPageBreak/>
        <w:t xml:space="preserve">substantially limits normal cell growth; diabetes, which substantially limits endocrine function; and HIV, which substantially limits immune function.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 1630.2(j)(3)(iii).</w:t>
      </w:r>
    </w:p>
    <w:p w14:paraId="37F5D9D7"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6DB2DB1A"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“An impairment that is episodic or in remission is a disability if it would substantially limit a major life activity when active.”  42 U.S.C. § 12102(4)(D).</w:t>
      </w:r>
    </w:p>
    <w:p w14:paraId="018C7806"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04E53029"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In general, “[t]he determination of whether an impairment substantially limits a major life activity shall be made without regard to the ameliorative effects of mitigating measures” such as medication, medical equipment, prosthetics, hearing aids, low-vision devices, oxygen therapy equipment or assistive technology. However, the ameliorative effects of ordinary eyeglasses or contact lenses shall be considered. 42 U.S.C. § 12102(4)(E)(</w:t>
      </w:r>
      <w:proofErr w:type="spellStart"/>
      <w:proofErr w:type="gramStart"/>
      <w:r w:rsidRPr="00F43EB2">
        <w:rPr>
          <w:rFonts w:ascii="Times New Roman" w:hAnsi="Times New Roman" w:cs="Times New Roman"/>
          <w:sz w:val="24"/>
          <w:szCs w:val="24"/>
        </w:rPr>
        <w:t>i</w:t>
      </w:r>
      <w:proofErr w:type="spellEnd"/>
      <w:r w:rsidRPr="00F43EB2">
        <w:rPr>
          <w:rFonts w:ascii="Times New Roman" w:hAnsi="Times New Roman" w:cs="Times New Roman"/>
          <w:sz w:val="24"/>
          <w:szCs w:val="24"/>
        </w:rPr>
        <w:t>)-(</w:t>
      </w:r>
      <w:proofErr w:type="gramEnd"/>
      <w:r w:rsidRPr="00F43EB2">
        <w:rPr>
          <w:rFonts w:ascii="Times New Roman" w:hAnsi="Times New Roman" w:cs="Times New Roman"/>
          <w:sz w:val="24"/>
          <w:szCs w:val="24"/>
        </w:rPr>
        <w:t>ii); 29 C.F.R. § 1630.2(j)(1)(vi). The distinction between low-vision devices and ordinary eyeglasses or contact lenses is that glasses or lenses correct visual acuity or eliminate refractive error, whereas low-vision devices magnify or enhance a visual image. 42 U.S.C. § 12102(4)(E)(iii).</w:t>
      </w:r>
    </w:p>
    <w:p w14:paraId="67754E4A" w14:textId="77777777"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p>
    <w:p w14:paraId="1A495777" w14:textId="56AA97E1" w:rsidR="00D62188" w:rsidRPr="00F43EB2" w:rsidRDefault="00D62188" w:rsidP="00D6218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In an appropriate case, the trial court must instruct the jury that conduct resulting from a disability is part of the disability and is not a separate basis for termination. </w:t>
      </w:r>
      <w:r w:rsidRPr="00F43EB2">
        <w:rPr>
          <w:rFonts w:ascii="Times New Roman" w:hAnsi="Times New Roman" w:cs="Times New Roman"/>
          <w:i/>
          <w:iCs/>
          <w:sz w:val="24"/>
          <w:szCs w:val="24"/>
        </w:rPr>
        <w:t>See Gambini v. Total Renal Care, Inc.</w:t>
      </w:r>
      <w:r w:rsidRPr="00F43EB2">
        <w:rPr>
          <w:rFonts w:ascii="Times New Roman" w:hAnsi="Times New Roman" w:cs="Times New Roman"/>
          <w:sz w:val="24"/>
          <w:szCs w:val="24"/>
        </w:rPr>
        <w:t xml:space="preserve">, 486 F.3d 1087, 1093 (9th Cir. 2007) (in case brought under the FMLA and Washington law by a plaintiff terminated after engaging in profanity-laced outburst allegedly caused by bipolar disorder, the Ninth Circuit held that it was error to refuse an instruction stating that conduct resulting from disability is part of the disability and not a separate basis for termination, citing ADA case of </w:t>
      </w:r>
      <w:r w:rsidRPr="00F43EB2">
        <w:rPr>
          <w:rFonts w:ascii="Times New Roman" w:hAnsi="Times New Roman" w:cs="Times New Roman"/>
          <w:i/>
          <w:iCs/>
          <w:sz w:val="24"/>
          <w:szCs w:val="24"/>
        </w:rPr>
        <w:t xml:space="preserve">Humphrey v. Memorial Hospitals </w:t>
      </w:r>
      <w:proofErr w:type="spellStart"/>
      <w:r w:rsidRPr="00F43EB2">
        <w:rPr>
          <w:rFonts w:ascii="Times New Roman" w:hAnsi="Times New Roman" w:cs="Times New Roman"/>
          <w:i/>
          <w:iCs/>
          <w:sz w:val="24"/>
          <w:szCs w:val="24"/>
        </w:rPr>
        <w:t>Ass’n</w:t>
      </w:r>
      <w:proofErr w:type="spellEnd"/>
      <w:r w:rsidRPr="00F43EB2">
        <w:rPr>
          <w:rFonts w:ascii="Times New Roman" w:hAnsi="Times New Roman" w:cs="Times New Roman"/>
          <w:sz w:val="24"/>
          <w:szCs w:val="24"/>
        </w:rPr>
        <w:t xml:space="preserve">, 239 F.3d 1128, 1139-40 (9th Cir. 2001)). However, </w:t>
      </w:r>
      <w:r w:rsidRPr="00F43EB2">
        <w:rPr>
          <w:rFonts w:ascii="Times New Roman" w:hAnsi="Times New Roman" w:cs="Times New Roman"/>
          <w:i/>
          <w:iCs/>
          <w:sz w:val="24"/>
          <w:szCs w:val="24"/>
        </w:rPr>
        <w:t>Gambini</w:t>
      </w:r>
      <w:r w:rsidRPr="00F43EB2">
        <w:rPr>
          <w:rFonts w:ascii="Times New Roman" w:hAnsi="Times New Roman" w:cs="Times New Roman"/>
          <w:sz w:val="24"/>
          <w:szCs w:val="24"/>
        </w:rPr>
        <w:t xml:space="preserve"> did not preclude the employer from arguing that the plaintiff was not a qualified individual or raising a business necessity or direct threat defense.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at 1095-96. In </w:t>
      </w:r>
      <w:r w:rsidRPr="00F43EB2">
        <w:rPr>
          <w:rFonts w:ascii="Times New Roman" w:hAnsi="Times New Roman" w:cs="Times New Roman"/>
          <w:i/>
          <w:iCs/>
          <w:sz w:val="24"/>
          <w:szCs w:val="24"/>
        </w:rPr>
        <w:t xml:space="preserve">Mayo v. PCC </w:t>
      </w:r>
      <w:proofErr w:type="spellStart"/>
      <w:r w:rsidRPr="00F43EB2">
        <w:rPr>
          <w:rFonts w:ascii="Times New Roman" w:hAnsi="Times New Roman" w:cs="Times New Roman"/>
          <w:i/>
          <w:iCs/>
          <w:sz w:val="24"/>
          <w:szCs w:val="24"/>
        </w:rPr>
        <w:t>Structurals</w:t>
      </w:r>
      <w:proofErr w:type="spellEnd"/>
      <w:r w:rsidRPr="00F43EB2">
        <w:rPr>
          <w:rFonts w:ascii="Times New Roman" w:hAnsi="Times New Roman" w:cs="Times New Roman"/>
          <w:i/>
          <w:iCs/>
          <w:sz w:val="24"/>
          <w:szCs w:val="24"/>
        </w:rPr>
        <w:t>, Inc.</w:t>
      </w:r>
      <w:r w:rsidRPr="00F43EB2">
        <w:rPr>
          <w:rFonts w:ascii="Times New Roman" w:hAnsi="Times New Roman" w:cs="Times New Roman"/>
          <w:sz w:val="24"/>
          <w:szCs w:val="24"/>
        </w:rPr>
        <w:t xml:space="preserve">, 795 F.3d 941, 944 (9th Cir. 2015), the Ninth Circuit held that an employee who makes serious and credible threats to kill coworkers is not a qualified individual regardless of whether the threats stemmed from mental illness. </w:t>
      </w:r>
      <w:r w:rsidRPr="00F43EB2">
        <w:rPr>
          <w:rFonts w:ascii="Times New Roman" w:hAnsi="Times New Roman" w:cs="Times New Roman"/>
          <w:i/>
          <w:iCs/>
          <w:sz w:val="24"/>
          <w:szCs w:val="24"/>
        </w:rPr>
        <w:t>See</w:t>
      </w:r>
      <w:r w:rsidRPr="00F43EB2">
        <w:rPr>
          <w:rFonts w:ascii="Times New Roman" w:hAnsi="Times New Roman" w:cs="Times New Roman"/>
          <w:sz w:val="24"/>
          <w:szCs w:val="24"/>
        </w:rPr>
        <w:t xml:space="preserve"> Instruction 12.10 (ADA—Defenses—Business Necessity) and Instruction 12.11 (ADA—Defenses—Direct Threat).</w:t>
      </w:r>
    </w:p>
    <w:p w14:paraId="375F480D" w14:textId="77777777" w:rsidR="00C30C2C" w:rsidRDefault="00C30C2C"/>
    <w:p w14:paraId="641AABBB" w14:textId="40600148" w:rsidR="00D62188" w:rsidRPr="00D25034" w:rsidRDefault="00D62188" w:rsidP="00D25034">
      <w:pPr>
        <w:jc w:val="right"/>
        <w:rPr>
          <w:rFonts w:ascii="Times New Roman" w:hAnsi="Times New Roman" w:cs="Times New Roman"/>
          <w:i/>
          <w:iCs/>
          <w:sz w:val="24"/>
          <w:szCs w:val="24"/>
        </w:rPr>
      </w:pPr>
      <w:r w:rsidRPr="00D25034">
        <w:rPr>
          <w:rFonts w:ascii="Times New Roman" w:hAnsi="Times New Roman" w:cs="Times New Roman"/>
          <w:i/>
          <w:iCs/>
          <w:sz w:val="24"/>
          <w:szCs w:val="24"/>
        </w:rPr>
        <w:t>Revised March 2024</w:t>
      </w:r>
    </w:p>
    <w:sectPr w:rsidR="00D62188" w:rsidRPr="00D2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188"/>
    <w:rsid w:val="0020237C"/>
    <w:rsid w:val="00235FFF"/>
    <w:rsid w:val="00695F6A"/>
    <w:rsid w:val="006E771A"/>
    <w:rsid w:val="00BC67C9"/>
    <w:rsid w:val="00C30C2C"/>
    <w:rsid w:val="00D25034"/>
    <w:rsid w:val="00D62188"/>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21D7"/>
  <w15:chartTrackingRefBased/>
  <w15:docId w15:val="{43D08DBC-006E-4360-97EC-2D429554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188"/>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D62188"/>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2024-05-21T00:44:00Z</dcterms:created>
  <dcterms:modified xsi:type="dcterms:W3CDTF">2024-05-21T01:17:00Z</dcterms:modified>
</cp:coreProperties>
</file>