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28F6C" w14:textId="77777777" w:rsidR="00FF28F9" w:rsidRPr="00FF28F9" w:rsidRDefault="00FF28F9" w:rsidP="00FF28F9">
      <w:pPr>
        <w:autoSpaceDE w:val="0"/>
        <w:autoSpaceDN w:val="0"/>
        <w:adjustRightInd w:val="0"/>
        <w:spacing w:after="0" w:line="240" w:lineRule="auto"/>
        <w:jc w:val="center"/>
        <w:outlineLvl w:val="1"/>
        <w:rPr>
          <w:rFonts w:ascii="Times New Roman" w:eastAsia="Calibri" w:hAnsi="Times New Roman" w:cs="Times New Roman"/>
          <w:b/>
          <w:bCs/>
          <w:kern w:val="0"/>
          <w14:ligatures w14:val="none"/>
        </w:rPr>
      </w:pPr>
      <w:bookmarkStart w:id="0" w:name="_Toc117512510"/>
      <w:bookmarkStart w:id="1" w:name="_Toc196481883"/>
      <w:r w:rsidRPr="00FF28F9">
        <w:rPr>
          <w:rFonts w:ascii="Times New Roman" w:eastAsia="Calibri" w:hAnsi="Times New Roman" w:cs="Times New Roman"/>
          <w:b/>
          <w:bCs/>
          <w:kern w:val="0"/>
          <w14:ligatures w14:val="none"/>
        </w:rPr>
        <w:t>12.7 ADA—Qualified Individual</w:t>
      </w:r>
      <w:bookmarkEnd w:id="0"/>
      <w:bookmarkEnd w:id="1"/>
    </w:p>
    <w:p w14:paraId="5B64FC72" w14:textId="77777777" w:rsidR="00FF28F9" w:rsidRPr="00FF28F9" w:rsidRDefault="00FF28F9" w:rsidP="00FF28F9">
      <w:pPr>
        <w:spacing w:after="0" w:line="240" w:lineRule="auto"/>
        <w:rPr>
          <w:rFonts w:ascii="Times New Roman" w:eastAsia="Calibri" w:hAnsi="Times New Roman" w:cs="Times New Roman"/>
          <w:kern w:val="0"/>
          <w14:ligatures w14:val="none"/>
        </w:rPr>
      </w:pPr>
    </w:p>
    <w:p w14:paraId="4C3595ED" w14:textId="77777777" w:rsidR="00FF28F9" w:rsidRPr="00FF28F9" w:rsidRDefault="00FF28F9" w:rsidP="00FF28F9">
      <w:pPr>
        <w:autoSpaceDE w:val="0"/>
        <w:autoSpaceDN w:val="0"/>
        <w:adjustRightInd w:val="0"/>
        <w:spacing w:after="0" w:line="240" w:lineRule="auto"/>
        <w:rPr>
          <w:rFonts w:ascii="Times New Roman" w:eastAsia="Calibri" w:hAnsi="Times New Roman" w:cs="Times New Roman"/>
          <w:kern w:val="0"/>
          <w14:ligatures w14:val="none"/>
        </w:rPr>
      </w:pPr>
      <w:r w:rsidRPr="00FF28F9">
        <w:rPr>
          <w:rFonts w:ascii="Times New Roman" w:eastAsia="Calibri" w:hAnsi="Times New Roman" w:cs="Times New Roman"/>
          <w:kern w:val="0"/>
          <w14:ligatures w14:val="none"/>
        </w:rPr>
        <w:tab/>
        <w:t>The second element of the ADA claim that the plaintiff must prove is that the plaintiff is a qualified individual under the ADA.</w:t>
      </w:r>
    </w:p>
    <w:p w14:paraId="3EC5903F" w14:textId="77777777" w:rsidR="00FF28F9" w:rsidRPr="00FF28F9" w:rsidRDefault="00FF28F9" w:rsidP="00FF28F9">
      <w:pPr>
        <w:autoSpaceDE w:val="0"/>
        <w:autoSpaceDN w:val="0"/>
        <w:adjustRightInd w:val="0"/>
        <w:spacing w:after="0" w:line="240" w:lineRule="auto"/>
        <w:rPr>
          <w:rFonts w:ascii="Times New Roman" w:eastAsia="Calibri" w:hAnsi="Times New Roman" w:cs="Times New Roman"/>
          <w:kern w:val="0"/>
          <w14:ligatures w14:val="none"/>
        </w:rPr>
      </w:pPr>
    </w:p>
    <w:p w14:paraId="3C3B90FC" w14:textId="77777777" w:rsidR="00FF28F9" w:rsidRPr="00FF28F9" w:rsidRDefault="00FF28F9" w:rsidP="00FF28F9">
      <w:pPr>
        <w:autoSpaceDE w:val="0"/>
        <w:autoSpaceDN w:val="0"/>
        <w:adjustRightInd w:val="0"/>
        <w:spacing w:after="0" w:line="240" w:lineRule="auto"/>
        <w:rPr>
          <w:rFonts w:ascii="Times New Roman" w:eastAsia="Calibri" w:hAnsi="Times New Roman" w:cs="Times New Roman"/>
          <w:kern w:val="0"/>
          <w14:ligatures w14:val="none"/>
        </w:rPr>
      </w:pPr>
      <w:r w:rsidRPr="00FF28F9">
        <w:rPr>
          <w:rFonts w:ascii="Times New Roman" w:eastAsia="Calibri" w:hAnsi="Times New Roman" w:cs="Times New Roman"/>
          <w:kern w:val="0"/>
          <w14:ligatures w14:val="none"/>
        </w:rPr>
        <w:tab/>
        <w:t>The term “qualified individual” means an individual with a disability who, either with or without a reasonable accommodation, can perform the essential functions of the employment position that such individual holds or desires. The individual must satisfy the requisite skill, experience, education, and other job-related requirements of the employment position.</w:t>
      </w:r>
    </w:p>
    <w:p w14:paraId="5435F40E" w14:textId="77777777" w:rsidR="00FF28F9" w:rsidRPr="00FF28F9" w:rsidRDefault="00FF28F9" w:rsidP="00FF28F9">
      <w:pPr>
        <w:spacing w:after="0" w:line="240" w:lineRule="auto"/>
        <w:rPr>
          <w:rFonts w:ascii="Times New Roman" w:eastAsia="Calibri" w:hAnsi="Times New Roman" w:cs="Times New Roman"/>
          <w:kern w:val="0"/>
          <w14:ligatures w14:val="none"/>
        </w:rPr>
      </w:pPr>
    </w:p>
    <w:p w14:paraId="34E09521" w14:textId="77777777" w:rsidR="00FF28F9" w:rsidRPr="00FF28F9" w:rsidRDefault="00FF28F9" w:rsidP="00FF28F9">
      <w:pPr>
        <w:autoSpaceDE w:val="0"/>
        <w:autoSpaceDN w:val="0"/>
        <w:adjustRightInd w:val="0"/>
        <w:spacing w:after="0" w:line="240" w:lineRule="auto"/>
        <w:jc w:val="center"/>
        <w:rPr>
          <w:rFonts w:ascii="Times New Roman" w:eastAsia="Calibri" w:hAnsi="Times New Roman" w:cs="Times New Roman"/>
          <w:kern w:val="0"/>
          <w14:ligatures w14:val="none"/>
        </w:rPr>
      </w:pPr>
      <w:r w:rsidRPr="00FF28F9">
        <w:rPr>
          <w:rFonts w:ascii="Times New Roman" w:eastAsia="Calibri" w:hAnsi="Times New Roman" w:cs="Times New Roman"/>
          <w:b/>
          <w:bCs/>
          <w:kern w:val="0"/>
          <w14:ligatures w14:val="none"/>
        </w:rPr>
        <w:t>Comment</w:t>
      </w:r>
    </w:p>
    <w:p w14:paraId="26C5D6E0" w14:textId="77777777" w:rsidR="00FF28F9" w:rsidRPr="00FF28F9" w:rsidRDefault="00FF28F9" w:rsidP="00FF28F9">
      <w:pPr>
        <w:spacing w:after="0" w:line="240" w:lineRule="auto"/>
        <w:rPr>
          <w:rFonts w:ascii="Times New Roman" w:eastAsia="Calibri" w:hAnsi="Times New Roman" w:cs="Times New Roman"/>
          <w:kern w:val="0"/>
          <w14:ligatures w14:val="none"/>
        </w:rPr>
      </w:pPr>
    </w:p>
    <w:p w14:paraId="0ED11895" w14:textId="77777777" w:rsidR="00FF28F9" w:rsidRPr="00FF28F9" w:rsidRDefault="00FF28F9" w:rsidP="00FF28F9">
      <w:pPr>
        <w:autoSpaceDE w:val="0"/>
        <w:autoSpaceDN w:val="0"/>
        <w:adjustRightInd w:val="0"/>
        <w:spacing w:after="0" w:line="240" w:lineRule="auto"/>
        <w:rPr>
          <w:rFonts w:ascii="Times New Roman" w:eastAsia="Calibri" w:hAnsi="Times New Roman" w:cs="Times New Roman"/>
          <w:kern w:val="0"/>
          <w14:ligatures w14:val="none"/>
        </w:rPr>
      </w:pPr>
      <w:r w:rsidRPr="00FF28F9">
        <w:rPr>
          <w:rFonts w:ascii="Times New Roman" w:eastAsia="Calibri" w:hAnsi="Times New Roman" w:cs="Times New Roman"/>
          <w:kern w:val="0"/>
          <w14:ligatures w14:val="none"/>
        </w:rPr>
        <w:tab/>
      </w:r>
      <w:r w:rsidRPr="00FF28F9">
        <w:rPr>
          <w:rFonts w:ascii="Times New Roman" w:eastAsia="Calibri" w:hAnsi="Times New Roman" w:cs="Times New Roman"/>
          <w:i/>
          <w:iCs/>
          <w:kern w:val="0"/>
          <w14:ligatures w14:val="none"/>
        </w:rPr>
        <w:t>See</w:t>
      </w:r>
      <w:r w:rsidRPr="00FF28F9">
        <w:rPr>
          <w:rFonts w:ascii="Times New Roman" w:eastAsia="Calibri" w:hAnsi="Times New Roman" w:cs="Times New Roman"/>
          <w:kern w:val="0"/>
          <w14:ligatures w14:val="none"/>
        </w:rPr>
        <w:t xml:space="preserve"> 42 U.S.C. § 12111 (employment-related definitions); 29 C.F.R. § 1630.2(m) (qualified individual). For a definition of “disability,” </w:t>
      </w:r>
      <w:r w:rsidRPr="00FF28F9">
        <w:rPr>
          <w:rFonts w:ascii="Times New Roman" w:eastAsia="Calibri" w:hAnsi="Times New Roman" w:cs="Times New Roman"/>
          <w:i/>
          <w:iCs/>
          <w:kern w:val="0"/>
          <w14:ligatures w14:val="none"/>
        </w:rPr>
        <w:t>see</w:t>
      </w:r>
      <w:r w:rsidRPr="00FF28F9">
        <w:rPr>
          <w:rFonts w:ascii="Times New Roman" w:eastAsia="Calibri" w:hAnsi="Times New Roman" w:cs="Times New Roman"/>
          <w:kern w:val="0"/>
          <w14:ligatures w14:val="none"/>
        </w:rPr>
        <w:t xml:space="preserve"> Instruction 12.2 (ADA—Physical or Mental Impairment).</w:t>
      </w:r>
    </w:p>
    <w:p w14:paraId="06A8D15E" w14:textId="77777777" w:rsidR="00FF28F9" w:rsidRPr="00FF28F9" w:rsidRDefault="00FF28F9" w:rsidP="00FF28F9">
      <w:pPr>
        <w:autoSpaceDE w:val="0"/>
        <w:autoSpaceDN w:val="0"/>
        <w:adjustRightInd w:val="0"/>
        <w:spacing w:after="0" w:line="240" w:lineRule="auto"/>
        <w:rPr>
          <w:rFonts w:ascii="Times New Roman" w:eastAsia="Calibri" w:hAnsi="Times New Roman" w:cs="Times New Roman"/>
          <w:kern w:val="0"/>
          <w14:ligatures w14:val="none"/>
        </w:rPr>
      </w:pPr>
    </w:p>
    <w:p w14:paraId="1574B055" w14:textId="77777777" w:rsidR="00FF28F9" w:rsidRPr="00FF28F9" w:rsidRDefault="00FF28F9" w:rsidP="00FF28F9">
      <w:pPr>
        <w:autoSpaceDE w:val="0"/>
        <w:autoSpaceDN w:val="0"/>
        <w:adjustRightInd w:val="0"/>
        <w:spacing w:after="0" w:line="240" w:lineRule="auto"/>
        <w:rPr>
          <w:rFonts w:ascii="Times New Roman" w:eastAsia="Calibri" w:hAnsi="Times New Roman" w:cs="Times New Roman"/>
          <w:kern w:val="0"/>
          <w14:ligatures w14:val="none"/>
        </w:rPr>
      </w:pPr>
      <w:r w:rsidRPr="00FF28F9">
        <w:rPr>
          <w:rFonts w:ascii="Times New Roman" w:eastAsia="Calibri" w:hAnsi="Times New Roman" w:cs="Times New Roman"/>
          <w:kern w:val="0"/>
          <w14:ligatures w14:val="none"/>
        </w:rPr>
        <w:tab/>
        <w:t xml:space="preserve">An individual who fails to satisfy job prerequisites, such as having a license, cannot be considered qualified within the meaning of the ADA unless he or she can show that the prerequisite is itself discriminatory. </w:t>
      </w:r>
      <w:r w:rsidRPr="00FF28F9">
        <w:rPr>
          <w:rFonts w:ascii="Times New Roman" w:eastAsia="Calibri" w:hAnsi="Times New Roman" w:cs="Times New Roman"/>
          <w:i/>
          <w:iCs/>
          <w:kern w:val="0"/>
          <w14:ligatures w14:val="none"/>
        </w:rPr>
        <w:t>Johnson v. Bd. of Trustees</w:t>
      </w:r>
      <w:r w:rsidRPr="00FF28F9">
        <w:rPr>
          <w:rFonts w:ascii="Times New Roman" w:eastAsia="Calibri" w:hAnsi="Times New Roman" w:cs="Times New Roman"/>
          <w:kern w:val="0"/>
          <w14:ligatures w14:val="none"/>
        </w:rPr>
        <w:t>, 666 F.3d 561, 567 (9th Cir. 2011) (noting that a law firm that requires lawyers to have graduated from an accredited law school and passed a bar examination need not provide accommodation to disabled individual who does not meet this selection criteria).</w:t>
      </w:r>
    </w:p>
    <w:p w14:paraId="389D74A9" w14:textId="77777777" w:rsidR="00FF28F9" w:rsidRPr="00FF28F9" w:rsidRDefault="00FF28F9" w:rsidP="00FF28F9">
      <w:pPr>
        <w:autoSpaceDE w:val="0"/>
        <w:autoSpaceDN w:val="0"/>
        <w:adjustRightInd w:val="0"/>
        <w:spacing w:after="0" w:line="240" w:lineRule="auto"/>
        <w:rPr>
          <w:rFonts w:ascii="Times New Roman" w:eastAsia="Calibri" w:hAnsi="Times New Roman" w:cs="Times New Roman"/>
          <w:kern w:val="0"/>
          <w14:ligatures w14:val="none"/>
        </w:rPr>
      </w:pPr>
    </w:p>
    <w:p w14:paraId="0B9151B0" w14:textId="116D46E3" w:rsidR="00FF28F9" w:rsidRPr="00FF28F9" w:rsidRDefault="00FF28F9" w:rsidP="00FF28F9">
      <w:pPr>
        <w:autoSpaceDE w:val="0"/>
        <w:autoSpaceDN w:val="0"/>
        <w:adjustRightInd w:val="0"/>
        <w:spacing w:after="0" w:line="240" w:lineRule="auto"/>
        <w:rPr>
          <w:rFonts w:ascii="Times New Roman" w:eastAsia="Calibri" w:hAnsi="Times New Roman" w:cs="Times New Roman"/>
          <w:kern w:val="0"/>
          <w14:ligatures w14:val="none"/>
        </w:rPr>
      </w:pPr>
      <w:r w:rsidRPr="00FF28F9">
        <w:rPr>
          <w:rFonts w:ascii="Times New Roman" w:eastAsia="Calibri" w:hAnsi="Times New Roman" w:cs="Times New Roman"/>
          <w:kern w:val="0"/>
          <w14:ligatures w14:val="none"/>
        </w:rPr>
        <w:tab/>
        <w:t xml:space="preserve">“[O]ne must be able to perform the essential functions of employment at the time that one is discriminated against in order to bring suit.” </w:t>
      </w:r>
      <w:r w:rsidRPr="00FF28F9">
        <w:rPr>
          <w:rFonts w:ascii="Times New Roman" w:eastAsia="Calibri" w:hAnsi="Times New Roman" w:cs="Times New Roman"/>
          <w:i/>
          <w:iCs/>
          <w:kern w:val="0"/>
          <w14:ligatures w14:val="none"/>
        </w:rPr>
        <w:t>Weyer v. Twentieth Century Fox Film Corp.</w:t>
      </w:r>
      <w:r w:rsidRPr="00FF28F9">
        <w:rPr>
          <w:rFonts w:ascii="Times New Roman" w:eastAsia="Calibri" w:hAnsi="Times New Roman" w:cs="Times New Roman"/>
          <w:kern w:val="0"/>
          <w14:ligatures w14:val="none"/>
        </w:rPr>
        <w:t xml:space="preserve">, 198 F.3d 1104, 1112 (9th Cir. 2000); </w:t>
      </w:r>
      <w:r w:rsidRPr="00FF28F9">
        <w:rPr>
          <w:rFonts w:ascii="Times New Roman" w:eastAsia="Calibri" w:hAnsi="Times New Roman" w:cs="Times New Roman"/>
          <w:i/>
          <w:iCs/>
          <w:kern w:val="0"/>
          <w14:ligatures w14:val="none"/>
        </w:rPr>
        <w:t xml:space="preserve">see </w:t>
      </w:r>
      <w:r w:rsidRPr="00D61C58">
        <w:rPr>
          <w:rFonts w:ascii="Times New Roman" w:eastAsia="Calibri" w:hAnsi="Times New Roman" w:cs="Times New Roman"/>
          <w:i/>
          <w:iCs/>
          <w:kern w:val="0"/>
          <w14:ligatures w14:val="none"/>
        </w:rPr>
        <w:t>Stanley v. City of Sanford</w:t>
      </w:r>
      <w:r w:rsidRPr="00D61C58">
        <w:rPr>
          <w:rFonts w:ascii="Times New Roman" w:eastAsia="Calibri" w:hAnsi="Times New Roman" w:cs="Times New Roman"/>
          <w:kern w:val="0"/>
          <w14:ligatures w14:val="none"/>
        </w:rPr>
        <w:t>, __ U.S. __, 145 S. Ct. 2058</w:t>
      </w:r>
      <w:r>
        <w:rPr>
          <w:rFonts w:ascii="Times New Roman" w:eastAsia="Calibri" w:hAnsi="Times New Roman" w:cs="Times New Roman"/>
          <w:kern w:val="0"/>
          <w14:ligatures w14:val="none"/>
        </w:rPr>
        <w:t>, 2063-65, 2071</w:t>
      </w:r>
      <w:r w:rsidRPr="00D61C58">
        <w:rPr>
          <w:rFonts w:ascii="Times New Roman" w:eastAsia="Calibri" w:hAnsi="Times New Roman" w:cs="Times New Roman"/>
          <w:kern w:val="0"/>
          <w14:ligatures w14:val="none"/>
        </w:rPr>
        <w:t xml:space="preserve"> (2025) (holding</w:t>
      </w:r>
      <w:r w:rsidRPr="00951EC2">
        <w:rPr>
          <w:rFonts w:ascii="Times New Roman" w:eastAsia="Calibri" w:hAnsi="Times New Roman" w:cs="Times New Roman"/>
          <w:kern w:val="0"/>
          <w14:ligatures w14:val="none"/>
        </w:rPr>
        <w:t xml:space="preserve"> that “to prevail under </w:t>
      </w:r>
      <w:r>
        <w:rPr>
          <w:rFonts w:ascii="Times New Roman" w:eastAsia="Calibri" w:hAnsi="Times New Roman" w:cs="Times New Roman"/>
          <w:kern w:val="0"/>
          <w14:ligatures w14:val="none"/>
        </w:rPr>
        <w:t xml:space="preserve">[42 U.S.C.] </w:t>
      </w:r>
      <w:r w:rsidRPr="00951EC2">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 xml:space="preserve"> </w:t>
      </w:r>
      <w:r w:rsidRPr="00951EC2">
        <w:rPr>
          <w:rFonts w:ascii="Times New Roman" w:eastAsia="Calibri" w:hAnsi="Times New Roman" w:cs="Times New Roman"/>
          <w:kern w:val="0"/>
          <w14:ligatures w14:val="none"/>
        </w:rPr>
        <w:t>12112(a), a plaintiff must plead and prove that she held or desired a job, and could perform its essential functions with or without reasonable accommodation, at the time of an employer’s alleged act of disability-based discrimination</w:t>
      </w:r>
      <w:r>
        <w:rPr>
          <w:rFonts w:ascii="Times New Roman" w:eastAsia="Calibri" w:hAnsi="Times New Roman" w:cs="Times New Roman"/>
          <w:kern w:val="0"/>
          <w14:ligatures w14:val="none"/>
        </w:rPr>
        <w:t>” and that a retired employee who does not hold or seek a job is not a “qualified individual” under Title I);</w:t>
      </w:r>
      <w:r w:rsidRPr="00D61210">
        <w:rPr>
          <w:rFonts w:ascii="Times New Roman" w:eastAsia="Calibri" w:hAnsi="Times New Roman" w:cs="Times New Roman"/>
          <w:i/>
          <w:iCs/>
          <w:kern w:val="0"/>
          <w14:ligatures w14:val="none"/>
        </w:rPr>
        <w:t xml:space="preserve"> </w:t>
      </w:r>
      <w:r w:rsidRPr="00FF28F9">
        <w:rPr>
          <w:rFonts w:ascii="Times New Roman" w:eastAsia="Calibri" w:hAnsi="Times New Roman" w:cs="Times New Roman"/>
          <w:i/>
          <w:iCs/>
          <w:kern w:val="0"/>
          <w14:ligatures w14:val="none"/>
        </w:rPr>
        <w:t>Johnson</w:t>
      </w:r>
      <w:r w:rsidRPr="00FF28F9">
        <w:rPr>
          <w:rFonts w:ascii="Times New Roman" w:eastAsia="Calibri" w:hAnsi="Times New Roman" w:cs="Times New Roman"/>
          <w:kern w:val="0"/>
          <w14:ligatures w14:val="none"/>
        </w:rPr>
        <w:t xml:space="preserve">, 666 F.3d at 564. A disabled employee or applicant who engaged in the use of illegal drugs at the time of the discriminatory incident will not be considered a “qualified individual with a disability” when the covered entity acts on the basis of such use. </w:t>
      </w:r>
      <w:r w:rsidRPr="00FF28F9">
        <w:rPr>
          <w:rFonts w:ascii="Times New Roman" w:eastAsia="Calibri" w:hAnsi="Times New Roman" w:cs="Times New Roman"/>
          <w:i/>
          <w:iCs/>
          <w:kern w:val="0"/>
          <w14:ligatures w14:val="none"/>
        </w:rPr>
        <w:t xml:space="preserve"> </w:t>
      </w:r>
      <w:r w:rsidRPr="00FF28F9">
        <w:rPr>
          <w:rFonts w:ascii="Times New Roman" w:eastAsia="Calibri" w:hAnsi="Times New Roman" w:cs="Times New Roman"/>
          <w:kern w:val="0"/>
          <w14:ligatures w14:val="none"/>
        </w:rPr>
        <w:t xml:space="preserve">42 U.S.C. § 12114(a); </w:t>
      </w:r>
      <w:r w:rsidRPr="00FF28F9">
        <w:rPr>
          <w:rFonts w:ascii="Times New Roman" w:eastAsia="Calibri" w:hAnsi="Times New Roman" w:cs="Times New Roman"/>
          <w:i/>
          <w:iCs/>
          <w:kern w:val="0"/>
          <w14:ligatures w14:val="none"/>
        </w:rPr>
        <w:t xml:space="preserve">Lopez v. Pacific Maritime </w:t>
      </w:r>
      <w:proofErr w:type="spellStart"/>
      <w:r w:rsidRPr="00FF28F9">
        <w:rPr>
          <w:rFonts w:ascii="Times New Roman" w:eastAsia="Calibri" w:hAnsi="Times New Roman" w:cs="Times New Roman"/>
          <w:i/>
          <w:iCs/>
          <w:kern w:val="0"/>
          <w14:ligatures w14:val="none"/>
        </w:rPr>
        <w:t>Ass’n</w:t>
      </w:r>
      <w:proofErr w:type="spellEnd"/>
      <w:r w:rsidRPr="00FF28F9">
        <w:rPr>
          <w:rFonts w:ascii="Times New Roman" w:eastAsia="Calibri" w:hAnsi="Times New Roman" w:cs="Times New Roman"/>
          <w:kern w:val="0"/>
          <w14:ligatures w14:val="none"/>
        </w:rPr>
        <w:t xml:space="preserve">, 657 F.3d 762, 764-68 (9th Cir. 2011) (rejecting discrimination claim challenging one-strike rule that permanently eliminated candidates who tested positive for drug use; leaving open question of how disparate impact claim might be affected by 42 U.S.C. § 12112(b)(6), governing selection criteria that tends to screen out individuals with a disability). </w:t>
      </w:r>
      <w:r w:rsidRPr="00FF28F9">
        <w:rPr>
          <w:rFonts w:ascii="Times New Roman" w:eastAsia="Calibri" w:hAnsi="Times New Roman" w:cs="Times New Roman"/>
          <w:i/>
          <w:iCs/>
          <w:kern w:val="0"/>
          <w14:ligatures w14:val="none"/>
        </w:rPr>
        <w:t xml:space="preserve">See also Mayo v. PCC </w:t>
      </w:r>
      <w:proofErr w:type="spellStart"/>
      <w:r w:rsidRPr="00FF28F9">
        <w:rPr>
          <w:rFonts w:ascii="Times New Roman" w:eastAsia="Calibri" w:hAnsi="Times New Roman" w:cs="Times New Roman"/>
          <w:i/>
          <w:iCs/>
          <w:kern w:val="0"/>
          <w14:ligatures w14:val="none"/>
        </w:rPr>
        <w:t>Structurals</w:t>
      </w:r>
      <w:proofErr w:type="spellEnd"/>
      <w:r w:rsidRPr="00FF28F9">
        <w:rPr>
          <w:rFonts w:ascii="Times New Roman" w:eastAsia="Calibri" w:hAnsi="Times New Roman" w:cs="Times New Roman"/>
          <w:i/>
          <w:iCs/>
          <w:kern w:val="0"/>
          <w14:ligatures w14:val="none"/>
        </w:rPr>
        <w:t>, Inc.</w:t>
      </w:r>
      <w:r w:rsidRPr="00FF28F9">
        <w:rPr>
          <w:rFonts w:ascii="Times New Roman" w:eastAsia="Calibri" w:hAnsi="Times New Roman" w:cs="Times New Roman"/>
          <w:kern w:val="0"/>
          <w14:ligatures w14:val="none"/>
        </w:rPr>
        <w:t>, 795 F.3d 941, 944 (9th Cir. 2015) (holding that under Oregon disability law, which is interpreted consistently with the ADA, an employee who makes serious and credible threats to kill coworkers is not a qualified individual, regardless of whether the threats stem from mental illness; ADA regulations do not require employer to analyze separately whether an employee poses a direct threat to health or safety of others in workplace under 42 U.S.C. § 12113).</w:t>
      </w:r>
    </w:p>
    <w:p w14:paraId="60F77BB1" w14:textId="77777777" w:rsidR="00FF28F9" w:rsidRPr="00FF28F9" w:rsidRDefault="00FF28F9" w:rsidP="00FF28F9">
      <w:pPr>
        <w:autoSpaceDE w:val="0"/>
        <w:autoSpaceDN w:val="0"/>
        <w:adjustRightInd w:val="0"/>
        <w:spacing w:after="0" w:line="240" w:lineRule="auto"/>
        <w:rPr>
          <w:rFonts w:ascii="Times New Roman" w:eastAsia="Calibri" w:hAnsi="Times New Roman" w:cs="Times New Roman"/>
          <w:kern w:val="0"/>
          <w14:ligatures w14:val="none"/>
        </w:rPr>
      </w:pPr>
    </w:p>
    <w:p w14:paraId="11511C55" w14:textId="77777777" w:rsidR="00FF28F9" w:rsidRPr="00FF28F9" w:rsidRDefault="00FF28F9" w:rsidP="00FF28F9">
      <w:pPr>
        <w:spacing w:after="0" w:line="240" w:lineRule="auto"/>
        <w:rPr>
          <w:rFonts w:ascii="Times New Roman" w:eastAsia="Calibri" w:hAnsi="Times New Roman" w:cs="Times New Roman"/>
          <w:kern w:val="0"/>
          <w14:ligatures w14:val="none"/>
        </w:rPr>
      </w:pPr>
      <w:r w:rsidRPr="00FF28F9">
        <w:rPr>
          <w:rFonts w:ascii="Times New Roman" w:eastAsia="Calibri" w:hAnsi="Times New Roman" w:cs="Times New Roman"/>
          <w:kern w:val="0"/>
          <w14:ligatures w14:val="none"/>
        </w:rPr>
        <w:tab/>
        <w:t xml:space="preserve">The phrase “holds or desires” has been interpreted by the Ninth Circuit to apply in situations when employees request reassignment “even if they cannot perform the essential </w:t>
      </w:r>
      <w:r w:rsidRPr="00FF28F9">
        <w:rPr>
          <w:rFonts w:ascii="Times New Roman" w:eastAsia="Calibri" w:hAnsi="Times New Roman" w:cs="Times New Roman"/>
          <w:kern w:val="0"/>
          <w14:ligatures w14:val="none"/>
        </w:rPr>
        <w:lastRenderedPageBreak/>
        <w:t xml:space="preserve">functions of the current position.” </w:t>
      </w:r>
      <w:r w:rsidRPr="00FF28F9">
        <w:rPr>
          <w:rFonts w:ascii="Times New Roman" w:eastAsia="Calibri" w:hAnsi="Times New Roman" w:cs="Times New Roman"/>
          <w:i/>
          <w:iCs/>
          <w:kern w:val="0"/>
          <w14:ligatures w14:val="none"/>
        </w:rPr>
        <w:t>Barnett v. U. S. Air, Inc.</w:t>
      </w:r>
      <w:r w:rsidRPr="00FF28F9">
        <w:rPr>
          <w:rFonts w:ascii="Times New Roman" w:eastAsia="Calibri" w:hAnsi="Times New Roman" w:cs="Times New Roman"/>
          <w:kern w:val="0"/>
          <w14:ligatures w14:val="none"/>
        </w:rPr>
        <w:t xml:space="preserve">, 228 F.3d 1105, 1111 (9th Cir. 2000), </w:t>
      </w:r>
      <w:r w:rsidRPr="00FF28F9">
        <w:rPr>
          <w:rFonts w:ascii="Times New Roman" w:eastAsia="Calibri" w:hAnsi="Times New Roman" w:cs="Times New Roman"/>
          <w:i/>
          <w:iCs/>
          <w:kern w:val="0"/>
          <w14:ligatures w14:val="none"/>
        </w:rPr>
        <w:t>vacated on other grounds</w:t>
      </w:r>
      <w:r w:rsidRPr="00FF28F9">
        <w:rPr>
          <w:rFonts w:ascii="Times New Roman" w:eastAsia="Calibri" w:hAnsi="Times New Roman" w:cs="Times New Roman"/>
          <w:kern w:val="0"/>
          <w14:ligatures w14:val="none"/>
        </w:rPr>
        <w:t>, 535 U.S. 391 (2002).</w:t>
      </w:r>
    </w:p>
    <w:p w14:paraId="6FB892FC" w14:textId="77777777" w:rsidR="00FF28F9" w:rsidRPr="00FF28F9" w:rsidRDefault="00FF28F9" w:rsidP="00FF28F9">
      <w:pPr>
        <w:spacing w:after="0" w:line="240" w:lineRule="auto"/>
        <w:rPr>
          <w:rFonts w:ascii="Times New Roman" w:eastAsia="Calibri" w:hAnsi="Times New Roman" w:cs="Times New Roman"/>
          <w:kern w:val="0"/>
          <w14:ligatures w14:val="none"/>
        </w:rPr>
      </w:pPr>
    </w:p>
    <w:p w14:paraId="16EBD0E6" w14:textId="24E95B85" w:rsidR="00FF28F9" w:rsidRPr="00FF28F9" w:rsidRDefault="00FF28F9" w:rsidP="00FF28F9">
      <w:pPr>
        <w:spacing w:after="0" w:line="240" w:lineRule="auto"/>
        <w:jc w:val="right"/>
        <w:rPr>
          <w:rFonts w:ascii="Times New Roman" w:eastAsia="Calibri" w:hAnsi="Times New Roman" w:cs="Times New Roman"/>
          <w:i/>
          <w:iCs/>
          <w:kern w:val="0"/>
          <w14:ligatures w14:val="none"/>
        </w:rPr>
      </w:pPr>
      <w:r w:rsidRPr="00FF28F9">
        <w:rPr>
          <w:rFonts w:ascii="Times New Roman" w:eastAsia="Calibri" w:hAnsi="Times New Roman" w:cs="Times New Roman"/>
          <w:i/>
          <w:iCs/>
          <w:kern w:val="0"/>
          <w14:ligatures w14:val="none"/>
        </w:rPr>
        <w:t xml:space="preserve">Revised </w:t>
      </w:r>
      <w:r>
        <w:rPr>
          <w:rFonts w:ascii="Times New Roman" w:eastAsia="Calibri" w:hAnsi="Times New Roman" w:cs="Times New Roman"/>
          <w:i/>
          <w:iCs/>
          <w:kern w:val="0"/>
          <w14:ligatures w14:val="none"/>
        </w:rPr>
        <w:t>September 2025</w:t>
      </w:r>
    </w:p>
    <w:p w14:paraId="6FB9CB10" w14:textId="77777777" w:rsidR="00147419" w:rsidRDefault="00147419"/>
    <w:sectPr w:rsidR="00147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8F9"/>
    <w:rsid w:val="00147419"/>
    <w:rsid w:val="0042339F"/>
    <w:rsid w:val="006942C6"/>
    <w:rsid w:val="007E0761"/>
    <w:rsid w:val="00920AE5"/>
    <w:rsid w:val="00B951E2"/>
    <w:rsid w:val="00C36D00"/>
    <w:rsid w:val="00D04691"/>
    <w:rsid w:val="00D54CA4"/>
    <w:rsid w:val="00F510A0"/>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12860"/>
  <w15:chartTrackingRefBased/>
  <w15:docId w15:val="{E683C392-83CD-4A96-A1C5-F4CDB3D70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28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28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8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8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28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28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8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8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8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8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28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28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28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28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28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8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8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8F9"/>
    <w:rPr>
      <w:rFonts w:eastAsiaTheme="majorEastAsia" w:cstheme="majorBidi"/>
      <w:color w:val="272727" w:themeColor="text1" w:themeTint="D8"/>
    </w:rPr>
  </w:style>
  <w:style w:type="paragraph" w:styleId="Title">
    <w:name w:val="Title"/>
    <w:basedOn w:val="Normal"/>
    <w:next w:val="Normal"/>
    <w:link w:val="TitleChar"/>
    <w:uiPriority w:val="10"/>
    <w:qFormat/>
    <w:rsid w:val="00FF2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8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8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8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8F9"/>
    <w:pPr>
      <w:spacing w:before="160"/>
      <w:jc w:val="center"/>
    </w:pPr>
    <w:rPr>
      <w:i/>
      <w:iCs/>
      <w:color w:val="404040" w:themeColor="text1" w:themeTint="BF"/>
    </w:rPr>
  </w:style>
  <w:style w:type="character" w:customStyle="1" w:styleId="QuoteChar">
    <w:name w:val="Quote Char"/>
    <w:basedOn w:val="DefaultParagraphFont"/>
    <w:link w:val="Quote"/>
    <w:uiPriority w:val="29"/>
    <w:rsid w:val="00FF28F9"/>
    <w:rPr>
      <w:i/>
      <w:iCs/>
      <w:color w:val="404040" w:themeColor="text1" w:themeTint="BF"/>
    </w:rPr>
  </w:style>
  <w:style w:type="paragraph" w:styleId="ListParagraph">
    <w:name w:val="List Paragraph"/>
    <w:basedOn w:val="Normal"/>
    <w:uiPriority w:val="34"/>
    <w:qFormat/>
    <w:rsid w:val="00FF28F9"/>
    <w:pPr>
      <w:ind w:left="720"/>
      <w:contextualSpacing/>
    </w:pPr>
  </w:style>
  <w:style w:type="character" w:styleId="IntenseEmphasis">
    <w:name w:val="Intense Emphasis"/>
    <w:basedOn w:val="DefaultParagraphFont"/>
    <w:uiPriority w:val="21"/>
    <w:qFormat/>
    <w:rsid w:val="00FF28F9"/>
    <w:rPr>
      <w:i/>
      <w:iCs/>
      <w:color w:val="0F4761" w:themeColor="accent1" w:themeShade="BF"/>
    </w:rPr>
  </w:style>
  <w:style w:type="paragraph" w:styleId="IntenseQuote">
    <w:name w:val="Intense Quote"/>
    <w:basedOn w:val="Normal"/>
    <w:next w:val="Normal"/>
    <w:link w:val="IntenseQuoteChar"/>
    <w:uiPriority w:val="30"/>
    <w:qFormat/>
    <w:rsid w:val="00FF28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8F9"/>
    <w:rPr>
      <w:i/>
      <w:iCs/>
      <w:color w:val="0F4761" w:themeColor="accent1" w:themeShade="BF"/>
    </w:rPr>
  </w:style>
  <w:style w:type="character" w:styleId="IntenseReference">
    <w:name w:val="Intense Reference"/>
    <w:basedOn w:val="DefaultParagraphFont"/>
    <w:uiPriority w:val="32"/>
    <w:qFormat/>
    <w:rsid w:val="00FF28F9"/>
    <w:rPr>
      <w:b/>
      <w:bCs/>
      <w:smallCaps/>
      <w:color w:val="0F4761" w:themeColor="accent1" w:themeShade="BF"/>
      <w:spacing w:val="5"/>
    </w:rPr>
  </w:style>
  <w:style w:type="paragraph" w:styleId="Revision">
    <w:name w:val="Revision"/>
    <w:hidden/>
    <w:uiPriority w:val="99"/>
    <w:semiHidden/>
    <w:rsid w:val="00FF28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514</Words>
  <Characters>2931</Characters>
  <Application>Microsoft Office Word</Application>
  <DocSecurity>0</DocSecurity>
  <Lines>24</Lines>
  <Paragraphs>6</Paragraphs>
  <ScaleCrop>false</ScaleCrop>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Samriddhi Rana</cp:lastModifiedBy>
  <cp:revision>2</cp:revision>
  <dcterms:created xsi:type="dcterms:W3CDTF">2025-10-10T21:54:00Z</dcterms:created>
  <dcterms:modified xsi:type="dcterms:W3CDTF">2025-11-10T06:33:00Z</dcterms:modified>
</cp:coreProperties>
</file>