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FD73F" w14:textId="0843D68B" w:rsidR="0001654B" w:rsidRPr="00CC60A5" w:rsidRDefault="0001654B" w:rsidP="00774C43">
      <w:pPr>
        <w:shd w:val="clear" w:color="auto" w:fill="FFFFFF"/>
        <w:spacing w:after="0" w:line="240" w:lineRule="auto"/>
        <w:jc w:val="center"/>
        <w:rPr>
          <w:rFonts w:ascii="Verdana" w:eastAsia="Times New Roman" w:hAnsi="Verdana" w:cs="Times New Roman"/>
          <w:bCs w:val="0"/>
          <w:sz w:val="24"/>
          <w:szCs w:val="24"/>
        </w:rPr>
      </w:pPr>
      <w:bookmarkStart w:id="0" w:name="_Hlk127519638"/>
      <w:r w:rsidRPr="00CC60A5">
        <w:rPr>
          <w:rFonts w:ascii="Times New Roman" w:eastAsia="Times New Roman" w:hAnsi="Times New Roman" w:cs="Times New Roman"/>
          <w:b/>
          <w:sz w:val="24"/>
          <w:szCs w:val="24"/>
        </w:rPr>
        <w:t>13.2 LMRA § 301—Damages (29 U.S.C. § 185)</w:t>
      </w:r>
    </w:p>
    <w:p w14:paraId="71C181AC"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If you find for the plaintiff, you must then consider the issue of damages.  The amount of your verdict should be a sum that you find will justly compensate the plaintiff for the damages the plaintiff has incurred.  The measure of such damages, if any, is the amount that the plaintiff would have earned from employment with the employer if the discharge had not occurred, reduced by any earnings that the plaintiff received, or could have reasonably received, from other employment. </w:t>
      </w:r>
    </w:p>
    <w:p w14:paraId="27989201"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w:t>
      </w:r>
      <w:r w:rsidRPr="00CC60A5">
        <w:rPr>
          <w:rFonts w:ascii="Times New Roman" w:eastAsia="Times New Roman" w:hAnsi="Times New Roman" w:cs="Times New Roman"/>
          <w:bCs w:val="0"/>
          <w:i/>
          <w:iCs/>
          <w:sz w:val="24"/>
          <w:szCs w:val="24"/>
          <w:u w:val="single"/>
        </w:rPr>
        <w:t>Insert type of damages recoverable</w:t>
      </w:r>
      <w:r w:rsidRPr="00CC60A5">
        <w:rPr>
          <w:rFonts w:ascii="Times New Roman" w:eastAsia="Times New Roman" w:hAnsi="Times New Roman" w:cs="Times New Roman"/>
          <w:bCs w:val="0"/>
          <w:i/>
          <w:iCs/>
          <w:sz w:val="24"/>
          <w:szCs w:val="24"/>
        </w:rPr>
        <w:t>.  </w:t>
      </w:r>
      <w:r w:rsidRPr="00CC60A5">
        <w:rPr>
          <w:rFonts w:ascii="Times New Roman" w:eastAsia="Times New Roman" w:hAnsi="Times New Roman" w:cs="Times New Roman"/>
          <w:bCs w:val="0"/>
          <w:i/>
          <w:iCs/>
          <w:sz w:val="24"/>
          <w:szCs w:val="24"/>
          <w:u w:val="single"/>
        </w:rPr>
        <w:t>See Instructions 5.1 (Damages–Proof) and 5.2 (Measures of Types of Damages), and if mitigation is at issue, see Instruction 5.3 </w:t>
      </w:r>
      <w:r w:rsidRPr="00CC60A5">
        <w:rPr>
          <w:rFonts w:ascii="Times New Roman" w:eastAsia="Times New Roman" w:hAnsi="Times New Roman" w:cs="Times New Roman"/>
          <w:bCs w:val="0"/>
          <w:sz w:val="24"/>
          <w:szCs w:val="24"/>
          <w:u w:val="single"/>
        </w:rPr>
        <w:t>(</w:t>
      </w:r>
      <w:r w:rsidRPr="00CC60A5">
        <w:rPr>
          <w:rFonts w:ascii="Times New Roman" w:eastAsia="Times New Roman" w:hAnsi="Times New Roman" w:cs="Times New Roman"/>
          <w:bCs w:val="0"/>
          <w:i/>
          <w:iCs/>
          <w:sz w:val="24"/>
          <w:szCs w:val="24"/>
          <w:u w:val="single"/>
        </w:rPr>
        <w:t>Damages–Mitigation</w:t>
      </w:r>
      <w:r w:rsidRPr="00CC60A5">
        <w:rPr>
          <w:rFonts w:ascii="Times New Roman" w:eastAsia="Times New Roman" w:hAnsi="Times New Roman" w:cs="Times New Roman"/>
          <w:bCs w:val="0"/>
          <w:sz w:val="24"/>
          <w:szCs w:val="24"/>
          <w:u w:val="single"/>
        </w:rPr>
        <w:t>)</w:t>
      </w:r>
      <w:r w:rsidRPr="00CC60A5">
        <w:rPr>
          <w:rFonts w:ascii="Times New Roman" w:eastAsia="Times New Roman" w:hAnsi="Times New Roman" w:cs="Times New Roman"/>
          <w:bCs w:val="0"/>
          <w:i/>
          <w:iCs/>
          <w:sz w:val="24"/>
          <w:szCs w:val="24"/>
        </w:rPr>
        <w:t>.</w:t>
      </w:r>
      <w:r w:rsidRPr="00CC60A5">
        <w:rPr>
          <w:rFonts w:ascii="Times New Roman" w:eastAsia="Times New Roman" w:hAnsi="Times New Roman" w:cs="Times New Roman"/>
          <w:bCs w:val="0"/>
          <w:sz w:val="24"/>
          <w:szCs w:val="24"/>
        </w:rPr>
        <w:t>] </w:t>
      </w:r>
    </w:p>
    <w:p w14:paraId="23260735"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Once you have arrived at a figure for lost wages or damages, you must apportion those damages between the employer and the union.  In making the apportionment, you should follow this guideline:  The employer is liable for lost wages and benefits due solely to its breach of the collective bargaining agreement in discharging the plaintiff, up to the point in time that the employer’s action would have been reversed had the union timely processed a grievance against the employer.  The union is responsible for any lost wages and benefits after the point in time that the employer’s action would have been reversed had the union timely processed the grievance. </w:t>
      </w:r>
    </w:p>
    <w:p w14:paraId="04EF43BD" w14:textId="77777777" w:rsidR="0001654B" w:rsidRPr="00CC60A5" w:rsidRDefault="0001654B" w:rsidP="0001654B">
      <w:pPr>
        <w:shd w:val="clear" w:color="auto" w:fill="FFFFFF"/>
        <w:spacing w:before="144" w:after="288" w:line="240" w:lineRule="auto"/>
        <w:jc w:val="center"/>
        <w:rPr>
          <w:rFonts w:ascii="Times" w:eastAsia="Times New Roman" w:hAnsi="Times" w:cs="Times"/>
          <w:bCs w:val="0"/>
          <w:sz w:val="24"/>
          <w:szCs w:val="24"/>
        </w:rPr>
      </w:pPr>
      <w:r w:rsidRPr="00CC60A5">
        <w:rPr>
          <w:rFonts w:ascii="Times New Roman" w:eastAsia="Times New Roman" w:hAnsi="Times New Roman" w:cs="Times New Roman"/>
          <w:b/>
          <w:sz w:val="24"/>
          <w:szCs w:val="24"/>
        </w:rPr>
        <w:t>Comment</w:t>
      </w:r>
      <w:r w:rsidRPr="00CC60A5">
        <w:rPr>
          <w:rFonts w:ascii="Times New Roman" w:eastAsia="Times New Roman" w:hAnsi="Times New Roman" w:cs="Times New Roman"/>
          <w:bCs w:val="0"/>
          <w:sz w:val="24"/>
          <w:szCs w:val="24"/>
        </w:rPr>
        <w:t> </w:t>
      </w:r>
    </w:p>
    <w:p w14:paraId="6A066813"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In </w:t>
      </w:r>
      <w:r w:rsidRPr="00CC60A5">
        <w:rPr>
          <w:rFonts w:ascii="Times New Roman" w:eastAsia="Times New Roman" w:hAnsi="Times New Roman" w:cs="Times New Roman"/>
          <w:bCs w:val="0"/>
          <w:i/>
          <w:iCs/>
          <w:sz w:val="24"/>
          <w:szCs w:val="24"/>
        </w:rPr>
        <w:t>Bowen v. U.S. Postal Serv.</w:t>
      </w:r>
      <w:r w:rsidRPr="00CC60A5">
        <w:rPr>
          <w:rFonts w:ascii="Times New Roman" w:eastAsia="Times New Roman" w:hAnsi="Times New Roman" w:cs="Times New Roman"/>
          <w:bCs w:val="0"/>
          <w:sz w:val="24"/>
          <w:szCs w:val="24"/>
        </w:rPr>
        <w:t>, 459 U.S. 212 (1983), the Supreme Court held that “damages attributable </w:t>
      </w:r>
      <w:r w:rsidRPr="00CC60A5">
        <w:rPr>
          <w:rFonts w:ascii="Times New Roman" w:eastAsia="Times New Roman" w:hAnsi="Times New Roman" w:cs="Times New Roman"/>
          <w:bCs w:val="0"/>
          <w:i/>
          <w:iCs/>
          <w:sz w:val="24"/>
          <w:szCs w:val="24"/>
        </w:rPr>
        <w:t>solely</w:t>
      </w:r>
      <w:r w:rsidRPr="00CC60A5">
        <w:rPr>
          <w:rFonts w:ascii="Times New Roman" w:eastAsia="Times New Roman" w:hAnsi="Times New Roman" w:cs="Times New Roman"/>
          <w:bCs w:val="0"/>
          <w:sz w:val="24"/>
          <w:szCs w:val="24"/>
        </w:rPr>
        <w:t> to the employer’s breach of contract should not be charged to the union but </w:t>
      </w:r>
      <w:r w:rsidRPr="00CC60A5">
        <w:rPr>
          <w:rFonts w:ascii="Times New Roman" w:eastAsia="Times New Roman" w:hAnsi="Times New Roman" w:cs="Times New Roman"/>
          <w:bCs w:val="0"/>
          <w:i/>
          <w:iCs/>
          <w:sz w:val="24"/>
          <w:szCs w:val="24"/>
        </w:rPr>
        <w:t>increases</w:t>
      </w:r>
      <w:r w:rsidRPr="00CC60A5">
        <w:rPr>
          <w:rFonts w:ascii="Times New Roman" w:eastAsia="Times New Roman" w:hAnsi="Times New Roman" w:cs="Times New Roman"/>
          <w:bCs w:val="0"/>
          <w:sz w:val="24"/>
          <w:szCs w:val="24"/>
        </w:rPr>
        <w:t> if any in those damages caused by the union’s refusal to process the grievance should not be charged to the employer.” 459 U.S. at 223-24 (quoting </w:t>
      </w:r>
      <w:proofErr w:type="spellStart"/>
      <w:r w:rsidRPr="00CC60A5">
        <w:rPr>
          <w:rFonts w:ascii="Times New Roman" w:eastAsia="Times New Roman" w:hAnsi="Times New Roman" w:cs="Times New Roman"/>
          <w:bCs w:val="0"/>
          <w:i/>
          <w:iCs/>
          <w:sz w:val="24"/>
          <w:szCs w:val="24"/>
        </w:rPr>
        <w:t>Vaca</w:t>
      </w:r>
      <w:proofErr w:type="spellEnd"/>
      <w:r w:rsidRPr="00CC60A5">
        <w:rPr>
          <w:rFonts w:ascii="Times New Roman" w:eastAsia="Times New Roman" w:hAnsi="Times New Roman" w:cs="Times New Roman"/>
          <w:bCs w:val="0"/>
          <w:i/>
          <w:iCs/>
          <w:sz w:val="24"/>
          <w:szCs w:val="24"/>
        </w:rPr>
        <w:t xml:space="preserve"> v. Sipes</w:t>
      </w:r>
      <w:r w:rsidRPr="00CC60A5">
        <w:rPr>
          <w:rFonts w:ascii="Times New Roman" w:eastAsia="Times New Roman" w:hAnsi="Times New Roman" w:cs="Times New Roman"/>
          <w:bCs w:val="0"/>
          <w:sz w:val="24"/>
          <w:szCs w:val="24"/>
        </w:rPr>
        <w:t>, 386 U.S. 171, 197-98 (1967)). </w:t>
      </w:r>
      <w:r w:rsidRPr="00CC60A5">
        <w:rPr>
          <w:rFonts w:ascii="Times New Roman" w:eastAsia="Times New Roman" w:hAnsi="Times New Roman" w:cs="Times New Roman"/>
          <w:bCs w:val="0"/>
          <w:i/>
          <w:iCs/>
          <w:sz w:val="24"/>
          <w:szCs w:val="24"/>
        </w:rPr>
        <w:t> Bowen</w:t>
      </w:r>
      <w:r w:rsidRPr="00CC60A5">
        <w:rPr>
          <w:rFonts w:ascii="Times New Roman" w:eastAsia="Times New Roman" w:hAnsi="Times New Roman" w:cs="Times New Roman"/>
          <w:bCs w:val="0"/>
          <w:sz w:val="24"/>
          <w:szCs w:val="24"/>
        </w:rPr>
        <w:t> does not indicate exactly how damages are to be apportioned between the employer and union. </w:t>
      </w:r>
      <w:r w:rsidRPr="00CC60A5">
        <w:rPr>
          <w:rFonts w:ascii="Times New Roman" w:eastAsia="Times New Roman" w:hAnsi="Times New Roman" w:cs="Times New Roman"/>
          <w:bCs w:val="0"/>
          <w:i/>
          <w:iCs/>
          <w:sz w:val="24"/>
          <w:szCs w:val="24"/>
        </w:rPr>
        <w:t> See</w:t>
      </w:r>
      <w:r w:rsidRPr="00CC60A5">
        <w:rPr>
          <w:rFonts w:ascii="Times New Roman" w:eastAsia="Times New Roman" w:hAnsi="Times New Roman" w:cs="Times New Roman"/>
          <w:bCs w:val="0"/>
          <w:sz w:val="24"/>
          <w:szCs w:val="24"/>
        </w:rPr>
        <w:t> Murray, Steven L., </w:t>
      </w:r>
      <w:r w:rsidRPr="00CC60A5">
        <w:rPr>
          <w:rFonts w:ascii="Times New Roman" w:eastAsia="Times New Roman" w:hAnsi="Times New Roman" w:cs="Times New Roman"/>
          <w:bCs w:val="0"/>
          <w:i/>
          <w:iCs/>
          <w:sz w:val="24"/>
          <w:szCs w:val="24"/>
        </w:rPr>
        <w:t>Apportionment of Damages in Section 301 Duty of Fair Representation Actions: The Impact of Bowen v. United States Postal Service</w:t>
      </w:r>
      <w:r w:rsidRPr="00CC60A5">
        <w:rPr>
          <w:rFonts w:ascii="Times New Roman" w:eastAsia="Times New Roman" w:hAnsi="Times New Roman" w:cs="Times New Roman"/>
          <w:bCs w:val="0"/>
          <w:sz w:val="24"/>
          <w:szCs w:val="24"/>
        </w:rPr>
        <w:t>, 32 DePaul L. Rev. 743, 767 (1983) (noting that Supreme Court’s decision in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could be interpreted to support three different apportionment rules).  For example,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xml:space="preserve"> could be read to hold that the employer and union are liable </w:t>
      </w:r>
      <w:proofErr w:type="gramStart"/>
      <w:r w:rsidRPr="00CC60A5">
        <w:rPr>
          <w:rFonts w:ascii="Times New Roman" w:eastAsia="Times New Roman" w:hAnsi="Times New Roman" w:cs="Times New Roman"/>
          <w:bCs w:val="0"/>
          <w:sz w:val="24"/>
          <w:szCs w:val="24"/>
        </w:rPr>
        <w:t>on the basis of</w:t>
      </w:r>
      <w:proofErr w:type="gramEnd"/>
      <w:r w:rsidRPr="00CC60A5">
        <w:rPr>
          <w:rFonts w:ascii="Times New Roman" w:eastAsia="Times New Roman" w:hAnsi="Times New Roman" w:cs="Times New Roman"/>
          <w:bCs w:val="0"/>
          <w:sz w:val="24"/>
          <w:szCs w:val="24"/>
        </w:rPr>
        <w:t xml:space="preserve"> relative degrees of fault. </w:t>
      </w:r>
      <w:r w:rsidRPr="00CC60A5">
        <w:rPr>
          <w:rFonts w:ascii="Times New Roman" w:eastAsia="Times New Roman" w:hAnsi="Times New Roman" w:cs="Times New Roman"/>
          <w:bCs w:val="0"/>
          <w:i/>
          <w:iCs/>
          <w:sz w:val="24"/>
          <w:szCs w:val="24"/>
        </w:rPr>
        <w:t>See id</w:t>
      </w:r>
      <w:r w:rsidRPr="00CC60A5">
        <w:rPr>
          <w:rFonts w:ascii="Times New Roman" w:eastAsia="Times New Roman" w:hAnsi="Times New Roman" w:cs="Times New Roman"/>
          <w:bCs w:val="0"/>
          <w:sz w:val="24"/>
          <w:szCs w:val="24"/>
        </w:rPr>
        <w:t>. at 767.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could also be interpreted to stand for the more concrete, bright line rule that employers are liable for damages suffered up until the hypothetical date upon which an arbitration award would have issued had the union processed the grievance, and the union is liable for all damages incurred thereafter.  </w:t>
      </w:r>
      <w:r w:rsidRPr="00CC60A5">
        <w:rPr>
          <w:rFonts w:ascii="Times New Roman" w:eastAsia="Times New Roman" w:hAnsi="Times New Roman" w:cs="Times New Roman"/>
          <w:bCs w:val="0"/>
          <w:i/>
          <w:iCs/>
          <w:sz w:val="24"/>
          <w:szCs w:val="24"/>
        </w:rPr>
        <w:t>See id.</w:t>
      </w:r>
      <w:r w:rsidRPr="00CC60A5">
        <w:rPr>
          <w:rFonts w:ascii="Times New Roman" w:eastAsia="Times New Roman" w:hAnsi="Times New Roman" w:cs="Times New Roman"/>
          <w:bCs w:val="0"/>
          <w:sz w:val="24"/>
          <w:szCs w:val="24"/>
        </w:rPr>
        <w:t> </w:t>
      </w:r>
    </w:p>
    <w:p w14:paraId="12D38682"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The district court in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had instructed the jury that apportionment between the employer and union could be based on the hypothetical arbitration date at which the employer would have reinstated the plaintiff if the union had fulfilled its duty. </w:t>
      </w:r>
      <w:r w:rsidRPr="00CC60A5">
        <w:rPr>
          <w:rFonts w:ascii="Times New Roman" w:eastAsia="Times New Roman" w:hAnsi="Times New Roman" w:cs="Times New Roman"/>
          <w:bCs w:val="0"/>
          <w:i/>
          <w:iCs/>
          <w:sz w:val="24"/>
          <w:szCs w:val="24"/>
        </w:rPr>
        <w:t> See Bowen</w:t>
      </w:r>
      <w:r w:rsidRPr="00CC60A5">
        <w:rPr>
          <w:rFonts w:ascii="Times New Roman" w:eastAsia="Times New Roman" w:hAnsi="Times New Roman" w:cs="Times New Roman"/>
          <w:bCs w:val="0"/>
          <w:sz w:val="24"/>
          <w:szCs w:val="24"/>
        </w:rPr>
        <w:t>, 459 U.S. at 215. The district court suggested that the employer was liable for damages before that date and the union for damages thereafter.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was explicit, however, in leaving undecided “whether the District Court’s instructions on apportionment of damages were proper.” </w:t>
      </w:r>
      <w:r w:rsidRPr="00CC60A5">
        <w:rPr>
          <w:rFonts w:ascii="Times New Roman" w:eastAsia="Times New Roman" w:hAnsi="Times New Roman" w:cs="Times New Roman"/>
          <w:bCs w:val="0"/>
          <w:i/>
          <w:iCs/>
          <w:sz w:val="24"/>
          <w:szCs w:val="24"/>
        </w:rPr>
        <w:t>Id.</w:t>
      </w:r>
      <w:r w:rsidRPr="00CC60A5">
        <w:rPr>
          <w:rFonts w:ascii="Times New Roman" w:eastAsia="Times New Roman" w:hAnsi="Times New Roman" w:cs="Times New Roman"/>
          <w:bCs w:val="0"/>
          <w:sz w:val="24"/>
          <w:szCs w:val="24"/>
        </w:rPr>
        <w:t> at 230 n.19. </w:t>
      </w:r>
    </w:p>
    <w:p w14:paraId="57DBE864" w14:textId="1E2883C0"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lastRenderedPageBreak/>
        <w:t>            Some courts have held that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does not mandate the hypothetical date method. </w:t>
      </w:r>
      <w:r w:rsidRPr="00CC60A5">
        <w:rPr>
          <w:rFonts w:ascii="Times New Roman" w:eastAsia="Times New Roman" w:hAnsi="Times New Roman" w:cs="Times New Roman"/>
          <w:bCs w:val="0"/>
          <w:i/>
          <w:iCs/>
          <w:sz w:val="24"/>
          <w:szCs w:val="24"/>
        </w:rPr>
        <w:t xml:space="preserve">See </w:t>
      </w:r>
      <w:proofErr w:type="spellStart"/>
      <w:r w:rsidRPr="00CC60A5">
        <w:rPr>
          <w:rFonts w:ascii="Times New Roman" w:eastAsia="Times New Roman" w:hAnsi="Times New Roman" w:cs="Times New Roman"/>
          <w:bCs w:val="0"/>
          <w:i/>
          <w:iCs/>
          <w:sz w:val="24"/>
          <w:szCs w:val="24"/>
        </w:rPr>
        <w:t>Aguinaga</w:t>
      </w:r>
      <w:proofErr w:type="spellEnd"/>
      <w:r w:rsidRPr="00CC60A5">
        <w:rPr>
          <w:rFonts w:ascii="Times New Roman" w:eastAsia="Times New Roman" w:hAnsi="Times New Roman" w:cs="Times New Roman"/>
          <w:bCs w:val="0"/>
          <w:i/>
          <w:iCs/>
          <w:sz w:val="24"/>
          <w:szCs w:val="24"/>
        </w:rPr>
        <w:t xml:space="preserve"> v. United Food &amp; Com. Workers Int’l</w:t>
      </w:r>
      <w:r w:rsidRPr="00CC60A5">
        <w:rPr>
          <w:rFonts w:ascii="Times New Roman" w:eastAsia="Times New Roman" w:hAnsi="Times New Roman" w:cs="Times New Roman"/>
          <w:bCs w:val="0"/>
          <w:sz w:val="24"/>
          <w:szCs w:val="24"/>
        </w:rPr>
        <w:t>, 993 F.2d 1463, 1475 (10th Cir. 1993) (“We do not agree that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requires that damages be apportioned based on chronology using the hypothetical arbitration date.”). What is clear from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xml:space="preserve"> and its progeny is that union liability is not limited to the litigation expenses and fees incurred by the employee-plaintiff </w:t>
      </w:r>
      <w:proofErr w:type="gramStart"/>
      <w:r w:rsidRPr="00CC60A5">
        <w:rPr>
          <w:rFonts w:ascii="Times New Roman" w:eastAsia="Times New Roman" w:hAnsi="Times New Roman" w:cs="Times New Roman"/>
          <w:bCs w:val="0"/>
          <w:sz w:val="24"/>
          <w:szCs w:val="24"/>
        </w:rPr>
        <w:t>as a result of</w:t>
      </w:r>
      <w:proofErr w:type="gramEnd"/>
      <w:r w:rsidRPr="00CC60A5">
        <w:rPr>
          <w:rFonts w:ascii="Times New Roman" w:eastAsia="Times New Roman" w:hAnsi="Times New Roman" w:cs="Times New Roman"/>
          <w:bCs w:val="0"/>
          <w:sz w:val="24"/>
          <w:szCs w:val="24"/>
        </w:rPr>
        <w:t xml:space="preserve"> the union’s breach of the duty of fair representation. </w:t>
      </w:r>
      <w:r w:rsidRPr="00CC60A5">
        <w:rPr>
          <w:rFonts w:ascii="Times New Roman" w:eastAsia="Times New Roman" w:hAnsi="Times New Roman" w:cs="Times New Roman"/>
          <w:bCs w:val="0"/>
          <w:i/>
          <w:iCs/>
          <w:sz w:val="24"/>
          <w:szCs w:val="24"/>
        </w:rPr>
        <w:t>See Bowen</w:t>
      </w:r>
      <w:r w:rsidRPr="00CC60A5">
        <w:rPr>
          <w:rFonts w:ascii="Times New Roman" w:eastAsia="Times New Roman" w:hAnsi="Times New Roman" w:cs="Times New Roman"/>
          <w:bCs w:val="0"/>
          <w:sz w:val="24"/>
          <w:szCs w:val="24"/>
        </w:rPr>
        <w:t>, 459 U.S. at 220–25 (rejecting union’s argument that its liability was limited to litigation expenses resulting from its breach of duty).  Implicit (if not explicit) in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is that a union may be held liable for a portion of the back pay owed to the employee.  The Court held that if the plaintiff is unable to collect against the union, the employer “remains secondarily liable for the full loss of back pay.” </w:t>
      </w:r>
      <w:r w:rsidRPr="00CC60A5">
        <w:rPr>
          <w:rFonts w:ascii="Times New Roman" w:eastAsia="Times New Roman" w:hAnsi="Times New Roman" w:cs="Times New Roman"/>
          <w:bCs w:val="0"/>
          <w:i/>
          <w:iCs/>
          <w:sz w:val="24"/>
          <w:szCs w:val="24"/>
        </w:rPr>
        <w:t>Id.</w:t>
      </w:r>
      <w:r w:rsidRPr="00CC60A5">
        <w:rPr>
          <w:rFonts w:ascii="Times New Roman" w:eastAsia="Times New Roman" w:hAnsi="Times New Roman" w:cs="Times New Roman"/>
          <w:bCs w:val="0"/>
          <w:sz w:val="24"/>
          <w:szCs w:val="24"/>
        </w:rPr>
        <w:t> at 223 n.12.  Inherent in this statement is that a union may be primarily liable for a percentage of the employee’s back pay. Numerous courts addressing this issue after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have held that a union may be liable for back pay when it breaches the duty of fair representation. </w:t>
      </w:r>
      <w:r w:rsidRPr="00CC60A5">
        <w:rPr>
          <w:rFonts w:ascii="Times New Roman" w:eastAsia="Times New Roman" w:hAnsi="Times New Roman" w:cs="Times New Roman"/>
          <w:bCs w:val="0"/>
          <w:i/>
          <w:iCs/>
          <w:sz w:val="24"/>
          <w:szCs w:val="24"/>
        </w:rPr>
        <w:t xml:space="preserve">See, e.g., </w:t>
      </w:r>
      <w:proofErr w:type="spellStart"/>
      <w:r w:rsidRPr="00CC60A5">
        <w:rPr>
          <w:rFonts w:ascii="Times New Roman" w:eastAsia="Times New Roman" w:hAnsi="Times New Roman" w:cs="Times New Roman"/>
          <w:bCs w:val="0"/>
          <w:i/>
          <w:iCs/>
          <w:sz w:val="24"/>
          <w:szCs w:val="24"/>
        </w:rPr>
        <w:t>Aguinaga</w:t>
      </w:r>
      <w:proofErr w:type="spellEnd"/>
      <w:r w:rsidRPr="00CC60A5">
        <w:rPr>
          <w:rFonts w:ascii="Times New Roman" w:eastAsia="Times New Roman" w:hAnsi="Times New Roman" w:cs="Times New Roman"/>
          <w:bCs w:val="0"/>
          <w:sz w:val="24"/>
          <w:szCs w:val="24"/>
        </w:rPr>
        <w:t>, 993 F.2d at 1475 (“[I]n </w:t>
      </w:r>
      <w:r w:rsidRPr="00CC60A5">
        <w:rPr>
          <w:rFonts w:ascii="Times New Roman" w:eastAsia="Times New Roman" w:hAnsi="Times New Roman" w:cs="Times New Roman"/>
          <w:bCs w:val="0"/>
          <w:i/>
          <w:iCs/>
          <w:sz w:val="24"/>
          <w:szCs w:val="24"/>
        </w:rPr>
        <w:t>Bowen</w:t>
      </w:r>
      <w:r w:rsidRPr="00CC60A5">
        <w:rPr>
          <w:rFonts w:ascii="Times New Roman" w:eastAsia="Times New Roman" w:hAnsi="Times New Roman" w:cs="Times New Roman"/>
          <w:bCs w:val="0"/>
          <w:sz w:val="24"/>
          <w:szCs w:val="24"/>
        </w:rPr>
        <w:t>, the Supreme Court held that a union can be liable for back pay and benefits.”)</w:t>
      </w:r>
      <w:r w:rsidR="00B804F3" w:rsidRPr="00CC60A5">
        <w:rPr>
          <w:rFonts w:ascii="Times New Roman" w:eastAsia="Times New Roman" w:hAnsi="Times New Roman" w:cs="Times New Roman"/>
          <w:bCs w:val="0"/>
          <w:sz w:val="24"/>
          <w:szCs w:val="24"/>
        </w:rPr>
        <w:t>.</w:t>
      </w:r>
      <w:r w:rsidR="00A9672F" w:rsidRPr="00CC60A5">
        <w:rPr>
          <w:rFonts w:ascii="Times New Roman" w:eastAsia="Times New Roman" w:hAnsi="Times New Roman" w:cs="Times New Roman"/>
          <w:bCs w:val="0"/>
          <w:sz w:val="24"/>
          <w:szCs w:val="24"/>
        </w:rPr>
        <w:t>  </w:t>
      </w:r>
      <w:r w:rsidRPr="00CC60A5">
        <w:rPr>
          <w:rFonts w:ascii="Times New Roman" w:eastAsia="Times New Roman" w:hAnsi="Times New Roman" w:cs="Times New Roman"/>
          <w:bCs w:val="0"/>
          <w:sz w:val="24"/>
          <w:szCs w:val="24"/>
        </w:rPr>
        <w:t> </w:t>
      </w:r>
    </w:p>
    <w:p w14:paraId="2A6F22E4" w14:textId="55428AEA"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w:t>
      </w:r>
      <w:r w:rsidR="00921716" w:rsidRPr="00CC60A5">
        <w:rPr>
          <w:rFonts w:ascii="Times New Roman" w:eastAsia="Times New Roman" w:hAnsi="Times New Roman" w:cs="Times New Roman"/>
          <w:bCs w:val="0"/>
          <w:sz w:val="24"/>
          <w:szCs w:val="24"/>
        </w:rPr>
        <w:t xml:space="preserve">Generally, damages are apportioned between the employer and union according to the damage caused by each.  </w:t>
      </w:r>
      <w:r w:rsidR="00C31FA4" w:rsidRPr="00CC60A5">
        <w:rPr>
          <w:rFonts w:ascii="Times New Roman" w:eastAsia="Times New Roman" w:hAnsi="Times New Roman" w:cs="Times New Roman"/>
          <w:bCs w:val="0"/>
          <w:sz w:val="24"/>
          <w:szCs w:val="24"/>
        </w:rPr>
        <w:t>However, joint and several liability may be appropriate where the employer and union actively participated in each other’s breach.  </w:t>
      </w:r>
      <w:r w:rsidR="00C31FA4" w:rsidRPr="00CC60A5">
        <w:rPr>
          <w:rFonts w:ascii="Times New Roman" w:eastAsia="Times New Roman" w:hAnsi="Times New Roman" w:cs="Times New Roman"/>
          <w:bCs w:val="0"/>
          <w:i/>
          <w:iCs/>
          <w:sz w:val="24"/>
          <w:szCs w:val="24"/>
        </w:rPr>
        <w:t>Lewis v. Tuscan Dairy Farms, Inc.,</w:t>
      </w:r>
      <w:r w:rsidR="00C31FA4" w:rsidRPr="00CC60A5">
        <w:rPr>
          <w:rFonts w:ascii="Times New Roman" w:eastAsia="Times New Roman" w:hAnsi="Times New Roman" w:cs="Times New Roman"/>
          <w:bCs w:val="0"/>
          <w:sz w:val="24"/>
          <w:szCs w:val="24"/>
        </w:rPr>
        <w:t> 25 F.3d 1138, 1145-46 (2d Cir. 1994); </w:t>
      </w:r>
      <w:proofErr w:type="spellStart"/>
      <w:r w:rsidR="00C31FA4" w:rsidRPr="00CC60A5">
        <w:rPr>
          <w:rFonts w:ascii="Times New Roman" w:eastAsia="Times New Roman" w:hAnsi="Times New Roman" w:cs="Times New Roman"/>
          <w:bCs w:val="0"/>
          <w:i/>
          <w:iCs/>
          <w:sz w:val="24"/>
          <w:szCs w:val="24"/>
        </w:rPr>
        <w:t>Aguinaga</w:t>
      </w:r>
      <w:proofErr w:type="spellEnd"/>
      <w:r w:rsidR="00C31FA4" w:rsidRPr="00CC60A5">
        <w:rPr>
          <w:rFonts w:ascii="Times New Roman" w:eastAsia="Times New Roman" w:hAnsi="Times New Roman" w:cs="Times New Roman"/>
          <w:bCs w:val="0"/>
          <w:sz w:val="24"/>
          <w:szCs w:val="24"/>
        </w:rPr>
        <w:t>, 993 F.2d at 1474-75.  For example, w</w:t>
      </w:r>
      <w:r w:rsidR="00A47395" w:rsidRPr="00CC60A5">
        <w:rPr>
          <w:rFonts w:ascii="Times New Roman" w:eastAsia="Times New Roman" w:hAnsi="Times New Roman" w:cs="Times New Roman"/>
          <w:bCs w:val="0"/>
          <w:sz w:val="24"/>
          <w:szCs w:val="24"/>
        </w:rPr>
        <w:t>hen</w:t>
      </w:r>
      <w:r w:rsidRPr="00CC60A5">
        <w:rPr>
          <w:rFonts w:ascii="Times New Roman" w:eastAsia="Times New Roman" w:hAnsi="Times New Roman" w:cs="Times New Roman"/>
          <w:bCs w:val="0"/>
          <w:sz w:val="24"/>
          <w:szCs w:val="24"/>
        </w:rPr>
        <w:t xml:space="preserve"> a union affirmatively causes the employer to breach the collective bargaining agreement, or whe</w:t>
      </w:r>
      <w:r w:rsidR="00A47395" w:rsidRPr="00CC60A5">
        <w:rPr>
          <w:rFonts w:ascii="Times New Roman" w:eastAsia="Times New Roman" w:hAnsi="Times New Roman" w:cs="Times New Roman"/>
          <w:bCs w:val="0"/>
          <w:sz w:val="24"/>
          <w:szCs w:val="24"/>
        </w:rPr>
        <w:t>n</w:t>
      </w:r>
      <w:r w:rsidRPr="00CC60A5">
        <w:rPr>
          <w:rFonts w:ascii="Times New Roman" w:eastAsia="Times New Roman" w:hAnsi="Times New Roman" w:cs="Times New Roman"/>
          <w:bCs w:val="0"/>
          <w:sz w:val="24"/>
          <w:szCs w:val="24"/>
        </w:rPr>
        <w:t xml:space="preserve"> the union and employer actively participate in each other’s breach, joint and several liability, as opposed to apportionment, may be appropriate. </w:t>
      </w:r>
      <w:r w:rsidRPr="00CC60A5">
        <w:rPr>
          <w:rFonts w:ascii="Times New Roman" w:eastAsia="Times New Roman" w:hAnsi="Times New Roman" w:cs="Times New Roman"/>
          <w:bCs w:val="0"/>
          <w:i/>
          <w:iCs/>
          <w:sz w:val="24"/>
          <w:szCs w:val="24"/>
        </w:rPr>
        <w:t xml:space="preserve">See </w:t>
      </w:r>
      <w:proofErr w:type="spellStart"/>
      <w:r w:rsidRPr="00CC60A5">
        <w:rPr>
          <w:rFonts w:ascii="Times New Roman" w:eastAsia="Times New Roman" w:hAnsi="Times New Roman" w:cs="Times New Roman"/>
          <w:bCs w:val="0"/>
          <w:i/>
          <w:iCs/>
          <w:sz w:val="24"/>
          <w:szCs w:val="24"/>
        </w:rPr>
        <w:t>Aguinaga</w:t>
      </w:r>
      <w:proofErr w:type="spellEnd"/>
      <w:r w:rsidRPr="00CC60A5">
        <w:rPr>
          <w:rFonts w:ascii="Times New Roman" w:eastAsia="Times New Roman" w:hAnsi="Times New Roman" w:cs="Times New Roman"/>
          <w:bCs w:val="0"/>
          <w:sz w:val="24"/>
          <w:szCs w:val="24"/>
        </w:rPr>
        <w:t>, 993 F.2d at 1475; </w:t>
      </w:r>
      <w:r w:rsidRPr="00CC60A5">
        <w:rPr>
          <w:rFonts w:ascii="Times New Roman" w:eastAsia="Times New Roman" w:hAnsi="Times New Roman" w:cs="Times New Roman"/>
          <w:bCs w:val="0"/>
          <w:i/>
          <w:iCs/>
          <w:sz w:val="24"/>
          <w:szCs w:val="24"/>
        </w:rPr>
        <w:t>Bennett v. Local Union No. 66</w:t>
      </w:r>
      <w:r w:rsidRPr="00CC60A5">
        <w:rPr>
          <w:rFonts w:ascii="Times New Roman" w:eastAsia="Times New Roman" w:hAnsi="Times New Roman" w:cs="Times New Roman"/>
          <w:bCs w:val="0"/>
          <w:sz w:val="24"/>
          <w:szCs w:val="24"/>
        </w:rPr>
        <w:t>, 958 F.2d 1429, 1440–41 (7th Cir. 1992). </w:t>
      </w:r>
    </w:p>
    <w:p w14:paraId="049A4126"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w:t>
      </w:r>
      <w:r w:rsidRPr="00CC60A5">
        <w:rPr>
          <w:rFonts w:ascii="Times New Roman" w:eastAsia="Times New Roman" w:hAnsi="Times New Roman" w:cs="Times New Roman"/>
          <w:bCs w:val="0"/>
          <w:i/>
          <w:iCs/>
          <w:sz w:val="24"/>
          <w:szCs w:val="24"/>
        </w:rPr>
        <w:t>See</w:t>
      </w:r>
      <w:r w:rsidRPr="00CC60A5">
        <w:rPr>
          <w:rFonts w:ascii="Times New Roman" w:eastAsia="Times New Roman" w:hAnsi="Times New Roman" w:cs="Times New Roman"/>
          <w:bCs w:val="0"/>
          <w:sz w:val="24"/>
          <w:szCs w:val="24"/>
        </w:rPr>
        <w:t> 5.1 (Damages—Proof) regarding causation. </w:t>
      </w:r>
    </w:p>
    <w:p w14:paraId="2CC20AC0" w14:textId="270CCA25"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Attorneys’ fees and awards for costs incurred in suing the union may be awarded as compensatory damages for a breach of the duty to represent.  </w:t>
      </w:r>
      <w:proofErr w:type="spellStart"/>
      <w:r w:rsidR="000E7019" w:rsidRPr="00CC60A5">
        <w:rPr>
          <w:rFonts w:ascii="Times New Roman" w:eastAsia="Times New Roman" w:hAnsi="Times New Roman" w:cs="Times New Roman"/>
          <w:bCs w:val="0"/>
          <w:i/>
          <w:iCs/>
          <w:sz w:val="24"/>
          <w:szCs w:val="24"/>
        </w:rPr>
        <w:t>Vaca</w:t>
      </w:r>
      <w:proofErr w:type="spellEnd"/>
      <w:r w:rsidR="000E7019" w:rsidRPr="00CC60A5">
        <w:rPr>
          <w:rFonts w:ascii="Times New Roman" w:eastAsia="Times New Roman" w:hAnsi="Times New Roman" w:cs="Times New Roman"/>
          <w:bCs w:val="0"/>
          <w:i/>
          <w:iCs/>
          <w:sz w:val="24"/>
          <w:szCs w:val="24"/>
        </w:rPr>
        <w:t xml:space="preserve"> v. Sipes</w:t>
      </w:r>
      <w:r w:rsidR="000E7019" w:rsidRPr="00CC60A5">
        <w:rPr>
          <w:rFonts w:ascii="Times New Roman" w:eastAsia="Times New Roman" w:hAnsi="Times New Roman" w:cs="Times New Roman"/>
          <w:bCs w:val="0"/>
          <w:sz w:val="24"/>
          <w:szCs w:val="24"/>
        </w:rPr>
        <w:t>, 386 U.S. 171, 195</w:t>
      </w:r>
      <w:r w:rsidR="00420943">
        <w:rPr>
          <w:rFonts w:ascii="Times New Roman" w:eastAsia="Times New Roman" w:hAnsi="Times New Roman" w:cs="Times New Roman"/>
          <w:bCs w:val="0"/>
          <w:sz w:val="24"/>
          <w:szCs w:val="24"/>
        </w:rPr>
        <w:t>-96</w:t>
      </w:r>
      <w:r w:rsidR="000E7019" w:rsidRPr="00CC60A5">
        <w:rPr>
          <w:rFonts w:ascii="Times New Roman" w:eastAsia="Times New Roman" w:hAnsi="Times New Roman" w:cs="Times New Roman"/>
          <w:bCs w:val="0"/>
          <w:sz w:val="24"/>
          <w:szCs w:val="24"/>
        </w:rPr>
        <w:t xml:space="preserve"> (1967)</w:t>
      </w:r>
      <w:r w:rsidR="00355388" w:rsidRPr="00CC60A5">
        <w:rPr>
          <w:rFonts w:ascii="Times New Roman" w:eastAsia="Times New Roman" w:hAnsi="Times New Roman" w:cs="Times New Roman"/>
          <w:bCs w:val="0"/>
          <w:sz w:val="24"/>
          <w:szCs w:val="24"/>
        </w:rPr>
        <w:t xml:space="preserve"> (explaining that “[t]he appropriate remedy for a breach of a union’s duty of fair representation must vary with the circumstances of the particular breach”)</w:t>
      </w:r>
      <w:r w:rsidR="007D7785" w:rsidRPr="00CC60A5">
        <w:rPr>
          <w:rFonts w:ascii="Times New Roman" w:eastAsia="Times New Roman" w:hAnsi="Times New Roman" w:cs="Times New Roman"/>
          <w:bCs w:val="0"/>
          <w:sz w:val="24"/>
          <w:szCs w:val="24"/>
        </w:rPr>
        <w:t xml:space="preserve">; </w:t>
      </w:r>
      <w:proofErr w:type="spellStart"/>
      <w:r w:rsidRPr="00CC60A5">
        <w:rPr>
          <w:rFonts w:ascii="Times New Roman" w:eastAsia="Times New Roman" w:hAnsi="Times New Roman" w:cs="Times New Roman"/>
          <w:bCs w:val="0"/>
          <w:i/>
          <w:iCs/>
          <w:sz w:val="24"/>
          <w:szCs w:val="24"/>
        </w:rPr>
        <w:t>Dutrisac</w:t>
      </w:r>
      <w:proofErr w:type="spellEnd"/>
      <w:r w:rsidRPr="00CC60A5">
        <w:rPr>
          <w:rFonts w:ascii="Times New Roman" w:eastAsia="Times New Roman" w:hAnsi="Times New Roman" w:cs="Times New Roman"/>
          <w:bCs w:val="0"/>
          <w:i/>
          <w:iCs/>
          <w:sz w:val="24"/>
          <w:szCs w:val="24"/>
        </w:rPr>
        <w:t xml:space="preserve"> v. Caterpillar Tractor Co.</w:t>
      </w:r>
      <w:r w:rsidRPr="00CC60A5">
        <w:rPr>
          <w:rFonts w:ascii="Times New Roman" w:eastAsia="Times New Roman" w:hAnsi="Times New Roman" w:cs="Times New Roman"/>
          <w:bCs w:val="0"/>
          <w:sz w:val="24"/>
          <w:szCs w:val="24"/>
        </w:rPr>
        <w:t>, 749 F.2d 1270 (9th Cir. 1983) (holding</w:t>
      </w:r>
      <w:r w:rsidR="00355388" w:rsidRPr="00CC60A5">
        <w:rPr>
          <w:rFonts w:ascii="Times New Roman" w:eastAsia="Times New Roman" w:hAnsi="Times New Roman" w:cs="Times New Roman"/>
          <w:bCs w:val="0"/>
          <w:sz w:val="24"/>
          <w:szCs w:val="24"/>
        </w:rPr>
        <w:t xml:space="preserve"> employee may recover from union attorneys’ fees expended in pursuing his employer for breach of contract</w:t>
      </w:r>
      <w:r w:rsidRPr="00CC60A5">
        <w:rPr>
          <w:rFonts w:ascii="Times New Roman" w:eastAsia="Times New Roman" w:hAnsi="Times New Roman" w:cs="Times New Roman"/>
          <w:bCs w:val="0"/>
          <w:sz w:val="24"/>
          <w:szCs w:val="24"/>
        </w:rPr>
        <w:t>). When an employee proves both a breach of the duty of fair representation and a violation of the collective bargaining agreement, the union must pay attorneys’ fees incurred by the employee in his suit against the employer and the union.  </w:t>
      </w:r>
      <w:r w:rsidRPr="00CC60A5">
        <w:rPr>
          <w:rFonts w:ascii="Times New Roman" w:eastAsia="Times New Roman" w:hAnsi="Times New Roman" w:cs="Times New Roman"/>
          <w:bCs w:val="0"/>
          <w:i/>
          <w:iCs/>
          <w:sz w:val="24"/>
          <w:szCs w:val="24"/>
        </w:rPr>
        <w:t>See, e.g., Zuniga v. United Can Co.</w:t>
      </w:r>
      <w:r w:rsidRPr="00CC60A5">
        <w:rPr>
          <w:rFonts w:ascii="Times New Roman" w:eastAsia="Times New Roman" w:hAnsi="Times New Roman" w:cs="Times New Roman"/>
          <w:bCs w:val="0"/>
          <w:sz w:val="24"/>
          <w:szCs w:val="24"/>
        </w:rPr>
        <w:t xml:space="preserve">, 812 F.2d 443, 451-52, 455 (9th Cir. 1987) (attributing </w:t>
      </w:r>
      <w:proofErr w:type="gramStart"/>
      <w:r w:rsidRPr="00CC60A5">
        <w:rPr>
          <w:rFonts w:ascii="Times New Roman" w:eastAsia="Times New Roman" w:hAnsi="Times New Roman" w:cs="Times New Roman"/>
          <w:bCs w:val="0"/>
          <w:sz w:val="24"/>
          <w:szCs w:val="24"/>
        </w:rPr>
        <w:t>wrongfully-denied</w:t>
      </w:r>
      <w:proofErr w:type="gramEnd"/>
      <w:r w:rsidRPr="00CC60A5">
        <w:rPr>
          <w:rFonts w:ascii="Times New Roman" w:eastAsia="Times New Roman" w:hAnsi="Times New Roman" w:cs="Times New Roman"/>
          <w:bCs w:val="0"/>
          <w:sz w:val="24"/>
          <w:szCs w:val="24"/>
        </w:rPr>
        <w:t xml:space="preserve"> sick leave benefits to employer, and attorneys’ fees to union). </w:t>
      </w:r>
      <w:r w:rsidR="007A619F" w:rsidRPr="00CC60A5">
        <w:rPr>
          <w:rFonts w:ascii="Times New Roman" w:eastAsia="Times New Roman" w:hAnsi="Times New Roman" w:cs="Times New Roman"/>
          <w:bCs w:val="0"/>
          <w:sz w:val="24"/>
          <w:szCs w:val="24"/>
        </w:rPr>
        <w:t xml:space="preserve"> Compensa</w:t>
      </w:r>
      <w:r w:rsidR="00632934" w:rsidRPr="00CC60A5">
        <w:rPr>
          <w:rFonts w:ascii="Times New Roman" w:eastAsia="Times New Roman" w:hAnsi="Times New Roman" w:cs="Times New Roman"/>
          <w:bCs w:val="0"/>
          <w:sz w:val="24"/>
          <w:szCs w:val="24"/>
        </w:rPr>
        <w:t>tory</w:t>
      </w:r>
      <w:r w:rsidR="007A619F" w:rsidRPr="00CC60A5">
        <w:rPr>
          <w:rFonts w:ascii="Times New Roman" w:eastAsia="Times New Roman" w:hAnsi="Times New Roman" w:cs="Times New Roman"/>
          <w:bCs w:val="0"/>
          <w:sz w:val="24"/>
          <w:szCs w:val="24"/>
        </w:rPr>
        <w:t xml:space="preserve"> damages </w:t>
      </w:r>
      <w:r w:rsidR="00E86B10" w:rsidRPr="00CC60A5">
        <w:rPr>
          <w:rFonts w:ascii="Times New Roman" w:eastAsia="Times New Roman" w:hAnsi="Times New Roman" w:cs="Times New Roman"/>
          <w:bCs w:val="0"/>
          <w:sz w:val="24"/>
          <w:szCs w:val="24"/>
        </w:rPr>
        <w:t>“</w:t>
      </w:r>
      <w:r w:rsidR="007A619F" w:rsidRPr="00CC60A5">
        <w:rPr>
          <w:rFonts w:ascii="Times New Roman" w:eastAsia="Times New Roman" w:hAnsi="Times New Roman" w:cs="Times New Roman"/>
          <w:bCs w:val="0"/>
          <w:sz w:val="24"/>
          <w:szCs w:val="24"/>
        </w:rPr>
        <w:t>may include lost wages</w:t>
      </w:r>
      <w:r w:rsidR="00E86B10" w:rsidRPr="00CC60A5">
        <w:rPr>
          <w:rFonts w:ascii="Times New Roman" w:eastAsia="Times New Roman" w:hAnsi="Times New Roman" w:cs="Times New Roman"/>
          <w:bCs w:val="0"/>
          <w:sz w:val="24"/>
          <w:szCs w:val="24"/>
        </w:rPr>
        <w:t xml:space="preserve"> and fringe benefits,” but lost wages should be </w:t>
      </w:r>
      <w:r w:rsidR="00232AD1" w:rsidRPr="00CC60A5">
        <w:rPr>
          <w:rFonts w:ascii="Times New Roman" w:eastAsia="Times New Roman" w:hAnsi="Times New Roman" w:cs="Times New Roman"/>
          <w:bCs w:val="0"/>
          <w:sz w:val="24"/>
          <w:szCs w:val="24"/>
        </w:rPr>
        <w:t>“</w:t>
      </w:r>
      <w:r w:rsidR="00E86B10" w:rsidRPr="00CC60A5">
        <w:rPr>
          <w:rFonts w:ascii="Times New Roman" w:eastAsia="Times New Roman" w:hAnsi="Times New Roman" w:cs="Times New Roman"/>
          <w:bCs w:val="0"/>
          <w:sz w:val="24"/>
          <w:szCs w:val="24"/>
        </w:rPr>
        <w:t>offset</w:t>
      </w:r>
      <w:r w:rsidR="007A619F" w:rsidRPr="00CC60A5">
        <w:rPr>
          <w:rFonts w:ascii="Times New Roman" w:eastAsia="Times New Roman" w:hAnsi="Times New Roman" w:cs="Times New Roman"/>
          <w:bCs w:val="0"/>
          <w:sz w:val="24"/>
          <w:szCs w:val="24"/>
        </w:rPr>
        <w:t xml:space="preserve"> by wages earned at other employment.</w:t>
      </w:r>
      <w:r w:rsidR="00232AD1" w:rsidRPr="00CC60A5">
        <w:rPr>
          <w:rFonts w:ascii="Times New Roman" w:eastAsia="Times New Roman" w:hAnsi="Times New Roman" w:cs="Times New Roman"/>
          <w:bCs w:val="0"/>
          <w:sz w:val="24"/>
          <w:szCs w:val="24"/>
        </w:rPr>
        <w:t>”</w:t>
      </w:r>
      <w:r w:rsidR="007A619F" w:rsidRPr="00CC60A5">
        <w:rPr>
          <w:rFonts w:ascii="Times New Roman" w:eastAsia="Times New Roman" w:hAnsi="Times New Roman" w:cs="Times New Roman"/>
          <w:bCs w:val="0"/>
          <w:sz w:val="24"/>
          <w:szCs w:val="24"/>
        </w:rPr>
        <w:t xml:space="preserve">  </w:t>
      </w:r>
      <w:r w:rsidR="007A619F" w:rsidRPr="00CC60A5">
        <w:rPr>
          <w:rFonts w:ascii="Times New Roman" w:eastAsia="Times New Roman" w:hAnsi="Times New Roman" w:cs="Times New Roman"/>
          <w:bCs w:val="0"/>
          <w:i/>
          <w:iCs/>
          <w:sz w:val="24"/>
          <w:szCs w:val="24"/>
        </w:rPr>
        <w:t xml:space="preserve">Galindo v. </w:t>
      </w:r>
      <w:proofErr w:type="spellStart"/>
      <w:r w:rsidR="007A619F" w:rsidRPr="00CC60A5">
        <w:rPr>
          <w:rFonts w:ascii="Times New Roman" w:eastAsia="Times New Roman" w:hAnsi="Times New Roman" w:cs="Times New Roman"/>
          <w:bCs w:val="0"/>
          <w:i/>
          <w:iCs/>
          <w:sz w:val="24"/>
          <w:szCs w:val="24"/>
        </w:rPr>
        <w:t>Stoody</w:t>
      </w:r>
      <w:proofErr w:type="spellEnd"/>
      <w:r w:rsidR="007A619F" w:rsidRPr="00CC60A5">
        <w:rPr>
          <w:rFonts w:ascii="Times New Roman" w:eastAsia="Times New Roman" w:hAnsi="Times New Roman" w:cs="Times New Roman"/>
          <w:bCs w:val="0"/>
          <w:i/>
          <w:iCs/>
          <w:sz w:val="24"/>
          <w:szCs w:val="24"/>
        </w:rPr>
        <w:t xml:space="preserve"> Co.</w:t>
      </w:r>
      <w:r w:rsidR="007A619F" w:rsidRPr="00CC60A5">
        <w:rPr>
          <w:rFonts w:ascii="Times New Roman" w:eastAsia="Times New Roman" w:hAnsi="Times New Roman" w:cs="Times New Roman"/>
          <w:bCs w:val="0"/>
          <w:sz w:val="24"/>
          <w:szCs w:val="24"/>
        </w:rPr>
        <w:t>, 793 F.2d 1502, 1516 (9th Cir. 1986).</w:t>
      </w:r>
    </w:p>
    <w:p w14:paraId="708EE745" w14:textId="0B8A1AE5" w:rsidR="00E47195" w:rsidRPr="00CC60A5" w:rsidRDefault="00E47195"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ab/>
      </w:r>
      <w:r w:rsidR="00107321" w:rsidRPr="00CC60A5">
        <w:rPr>
          <w:rFonts w:ascii="Times New Roman" w:eastAsia="Times New Roman" w:hAnsi="Times New Roman" w:cs="Times New Roman"/>
          <w:bCs w:val="0"/>
          <w:sz w:val="24"/>
          <w:szCs w:val="24"/>
          <w:u w:val="single"/>
        </w:rPr>
        <w:t>As of February 2023, the Ninth Circuit has not decided whether</w:t>
      </w:r>
      <w:r w:rsidR="00107321" w:rsidRPr="00CC60A5">
        <w:rPr>
          <w:rFonts w:ascii="Times New Roman" w:eastAsia="Times New Roman" w:hAnsi="Times New Roman" w:cs="Times New Roman"/>
          <w:bCs w:val="0"/>
          <w:sz w:val="24"/>
          <w:szCs w:val="24"/>
        </w:rPr>
        <w:t xml:space="preserve"> </w:t>
      </w:r>
      <w:r w:rsidR="00163F5F" w:rsidRPr="00CC60A5">
        <w:rPr>
          <w:rFonts w:ascii="Times New Roman" w:eastAsia="Times New Roman" w:hAnsi="Times New Roman" w:cs="Times New Roman"/>
          <w:bCs w:val="0"/>
          <w:sz w:val="24"/>
          <w:szCs w:val="24"/>
        </w:rPr>
        <w:t>p</w:t>
      </w:r>
      <w:r w:rsidRPr="00CC60A5">
        <w:rPr>
          <w:rFonts w:ascii="Times New Roman" w:eastAsia="Times New Roman" w:hAnsi="Times New Roman" w:cs="Times New Roman"/>
          <w:bCs w:val="0"/>
          <w:sz w:val="24"/>
          <w:szCs w:val="24"/>
        </w:rPr>
        <w:t xml:space="preserve">unitive </w:t>
      </w:r>
      <w:r w:rsidR="00163F5F" w:rsidRPr="00CC60A5">
        <w:rPr>
          <w:rFonts w:ascii="Times New Roman" w:eastAsia="Times New Roman" w:hAnsi="Times New Roman" w:cs="Times New Roman"/>
          <w:bCs w:val="0"/>
          <w:sz w:val="24"/>
          <w:szCs w:val="24"/>
        </w:rPr>
        <w:t xml:space="preserve">and extra-contractual </w:t>
      </w:r>
      <w:r w:rsidRPr="00CC60A5">
        <w:rPr>
          <w:rFonts w:ascii="Times New Roman" w:eastAsia="Times New Roman" w:hAnsi="Times New Roman" w:cs="Times New Roman"/>
          <w:bCs w:val="0"/>
          <w:sz w:val="24"/>
          <w:szCs w:val="24"/>
        </w:rPr>
        <w:t xml:space="preserve">damages are recoverable in an action </w:t>
      </w:r>
      <w:r w:rsidR="001D09D6" w:rsidRPr="00CC60A5">
        <w:rPr>
          <w:rFonts w:ascii="Times New Roman" w:eastAsia="Times New Roman" w:hAnsi="Times New Roman" w:cs="Times New Roman"/>
          <w:bCs w:val="0"/>
          <w:sz w:val="24"/>
          <w:szCs w:val="24"/>
        </w:rPr>
        <w:t>under the Labor Management Relations Act for breach of a collective bargaining agreement</w:t>
      </w:r>
      <w:r w:rsidRPr="00CC60A5">
        <w:rPr>
          <w:rFonts w:ascii="Times New Roman" w:eastAsia="Times New Roman" w:hAnsi="Times New Roman" w:cs="Times New Roman"/>
          <w:bCs w:val="0"/>
          <w:sz w:val="24"/>
          <w:szCs w:val="24"/>
        </w:rPr>
        <w:t xml:space="preserve">.  </w:t>
      </w:r>
      <w:proofErr w:type="spellStart"/>
      <w:r w:rsidR="00190771" w:rsidRPr="00CC60A5">
        <w:rPr>
          <w:rFonts w:ascii="Times New Roman" w:eastAsia="Times New Roman" w:hAnsi="Times New Roman" w:cs="Times New Roman"/>
          <w:bCs w:val="0"/>
          <w:i/>
          <w:iCs/>
          <w:sz w:val="24"/>
          <w:szCs w:val="24"/>
        </w:rPr>
        <w:t>Alday</w:t>
      </w:r>
      <w:proofErr w:type="spellEnd"/>
      <w:r w:rsidR="00190771" w:rsidRPr="00CC60A5">
        <w:rPr>
          <w:rFonts w:ascii="Times New Roman" w:eastAsia="Times New Roman" w:hAnsi="Times New Roman" w:cs="Times New Roman"/>
          <w:bCs w:val="0"/>
          <w:i/>
          <w:iCs/>
          <w:sz w:val="24"/>
          <w:szCs w:val="24"/>
        </w:rPr>
        <w:t xml:space="preserve"> v. Raytheon Co.</w:t>
      </w:r>
      <w:r w:rsidR="00190771" w:rsidRPr="00CC60A5">
        <w:rPr>
          <w:rFonts w:ascii="Times New Roman" w:eastAsia="Times New Roman" w:hAnsi="Times New Roman" w:cs="Times New Roman"/>
          <w:bCs w:val="0"/>
          <w:sz w:val="24"/>
          <w:szCs w:val="24"/>
        </w:rPr>
        <w:t>, 693 F.3d 772, 795 (9th Cir. 2012)</w:t>
      </w:r>
      <w:r w:rsidR="00A618E8" w:rsidRPr="00CC60A5">
        <w:rPr>
          <w:rFonts w:ascii="Times New Roman" w:eastAsia="Times New Roman" w:hAnsi="Times New Roman" w:cs="Times New Roman"/>
          <w:bCs w:val="0"/>
          <w:sz w:val="24"/>
          <w:szCs w:val="24"/>
        </w:rPr>
        <w:t xml:space="preserve"> (declining to decide whether court may award punitive damages “if it would deter persistent misconduct” or </w:t>
      </w:r>
      <w:r w:rsidR="002E54B3" w:rsidRPr="00CC60A5">
        <w:rPr>
          <w:rFonts w:ascii="Times New Roman" w:eastAsia="Times New Roman" w:hAnsi="Times New Roman" w:cs="Times New Roman"/>
          <w:bCs w:val="0"/>
          <w:sz w:val="24"/>
          <w:szCs w:val="24"/>
        </w:rPr>
        <w:t xml:space="preserve">award extra-contractual damages if </w:t>
      </w:r>
      <w:r w:rsidR="00A618E8" w:rsidRPr="00CC60A5">
        <w:rPr>
          <w:rFonts w:ascii="Times New Roman" w:eastAsia="Times New Roman" w:hAnsi="Times New Roman" w:cs="Times New Roman"/>
          <w:bCs w:val="0"/>
          <w:sz w:val="24"/>
          <w:szCs w:val="24"/>
        </w:rPr>
        <w:t xml:space="preserve">“defendant’s conduct was </w:t>
      </w:r>
      <w:r w:rsidR="00A618E8" w:rsidRPr="00CC60A5">
        <w:rPr>
          <w:rFonts w:ascii="Times New Roman" w:eastAsia="Times New Roman" w:hAnsi="Times New Roman" w:cs="Times New Roman"/>
          <w:bCs w:val="0"/>
          <w:sz w:val="24"/>
          <w:szCs w:val="24"/>
        </w:rPr>
        <w:lastRenderedPageBreak/>
        <w:t>particularly likely to result in serious emotional distress</w:t>
      </w:r>
      <w:r w:rsidR="00BF4066" w:rsidRPr="00CC60A5">
        <w:rPr>
          <w:rFonts w:ascii="Times New Roman" w:eastAsia="Times New Roman" w:hAnsi="Times New Roman" w:cs="Times New Roman"/>
          <w:bCs w:val="0"/>
          <w:sz w:val="24"/>
          <w:szCs w:val="24"/>
        </w:rPr>
        <w:t>”</w:t>
      </w:r>
      <w:r w:rsidR="00A618E8" w:rsidRPr="00CC60A5">
        <w:rPr>
          <w:rFonts w:ascii="Times New Roman" w:eastAsia="Times New Roman" w:hAnsi="Times New Roman" w:cs="Times New Roman"/>
          <w:bCs w:val="0"/>
          <w:sz w:val="24"/>
          <w:szCs w:val="24"/>
        </w:rPr>
        <w:t>)</w:t>
      </w:r>
      <w:r w:rsidR="00C8510C" w:rsidRPr="00CC60A5">
        <w:rPr>
          <w:rFonts w:ascii="Times New Roman" w:eastAsia="Times New Roman" w:hAnsi="Times New Roman" w:cs="Times New Roman"/>
          <w:bCs w:val="0"/>
          <w:sz w:val="24"/>
          <w:szCs w:val="24"/>
        </w:rPr>
        <w:t xml:space="preserve">; </w:t>
      </w:r>
      <w:r w:rsidR="00C8510C" w:rsidRPr="00CC60A5">
        <w:rPr>
          <w:rFonts w:ascii="Times New Roman" w:eastAsia="Times New Roman" w:hAnsi="Times New Roman" w:cs="Times New Roman"/>
          <w:bCs w:val="0"/>
          <w:i/>
          <w:iCs/>
          <w:sz w:val="24"/>
          <w:szCs w:val="24"/>
        </w:rPr>
        <w:t>see also Bloom v. Int’l Bhd. of Teamsters Loc. 468</w:t>
      </w:r>
      <w:r w:rsidR="00C8510C" w:rsidRPr="00CC60A5">
        <w:rPr>
          <w:rFonts w:ascii="Times New Roman" w:eastAsia="Times New Roman" w:hAnsi="Times New Roman" w:cs="Times New Roman"/>
          <w:bCs w:val="0"/>
          <w:sz w:val="24"/>
          <w:szCs w:val="24"/>
        </w:rPr>
        <w:t>, 752 F.2d 1312</w:t>
      </w:r>
      <w:r w:rsidR="009B42A5" w:rsidRPr="00CC60A5">
        <w:rPr>
          <w:rFonts w:ascii="Times New Roman" w:eastAsia="Times New Roman" w:hAnsi="Times New Roman" w:cs="Times New Roman"/>
          <w:bCs w:val="0"/>
          <w:sz w:val="24"/>
          <w:szCs w:val="24"/>
        </w:rPr>
        <w:t>, 1315</w:t>
      </w:r>
      <w:r w:rsidR="00C8510C" w:rsidRPr="00CC60A5">
        <w:rPr>
          <w:rFonts w:ascii="Times New Roman" w:eastAsia="Times New Roman" w:hAnsi="Times New Roman" w:cs="Times New Roman"/>
          <w:bCs w:val="0"/>
          <w:sz w:val="24"/>
          <w:szCs w:val="24"/>
        </w:rPr>
        <w:t xml:space="preserve"> (9th Cir. 1984) (reversing emotional distress damages because “[t]he minimum level of outrageous conduct was not shown in this case</w:t>
      </w:r>
      <w:r w:rsidR="008C0705" w:rsidRPr="00CC60A5">
        <w:rPr>
          <w:rFonts w:ascii="Times New Roman" w:eastAsia="Times New Roman" w:hAnsi="Times New Roman" w:cs="Times New Roman"/>
          <w:bCs w:val="0"/>
          <w:sz w:val="24"/>
          <w:szCs w:val="24"/>
        </w:rPr>
        <w:t>,</w:t>
      </w:r>
      <w:r w:rsidR="00C8510C" w:rsidRPr="00CC60A5">
        <w:rPr>
          <w:rFonts w:ascii="Times New Roman" w:eastAsia="Times New Roman" w:hAnsi="Times New Roman" w:cs="Times New Roman"/>
          <w:bCs w:val="0"/>
          <w:sz w:val="24"/>
          <w:szCs w:val="24"/>
        </w:rPr>
        <w:t>” without deciding whether remedy for breach of duty of fair representation under Labor Management Relations Act might include damages for emotional distress)</w:t>
      </w:r>
      <w:r w:rsidR="0024549C" w:rsidRPr="00CC60A5">
        <w:rPr>
          <w:rFonts w:ascii="Times New Roman" w:eastAsia="Times New Roman" w:hAnsi="Times New Roman" w:cs="Times New Roman"/>
          <w:bCs w:val="0"/>
          <w:sz w:val="24"/>
          <w:szCs w:val="24"/>
        </w:rPr>
        <w:t>.</w:t>
      </w:r>
    </w:p>
    <w:p w14:paraId="7EA43D0C"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For an example of a suggested verdict form, see below: </w:t>
      </w:r>
    </w:p>
    <w:p w14:paraId="7DC6EDEA" w14:textId="77777777" w:rsidR="0001654B" w:rsidRPr="00CC60A5" w:rsidRDefault="0001654B" w:rsidP="0001654B">
      <w:pPr>
        <w:shd w:val="clear" w:color="auto" w:fill="FFFFFF"/>
        <w:spacing w:before="144" w:after="288" w:line="240" w:lineRule="auto"/>
        <w:jc w:val="center"/>
        <w:rPr>
          <w:rFonts w:ascii="Times" w:eastAsia="Times New Roman" w:hAnsi="Times" w:cs="Times"/>
          <w:bCs w:val="0"/>
          <w:sz w:val="24"/>
          <w:szCs w:val="24"/>
        </w:rPr>
      </w:pPr>
      <w:r w:rsidRPr="00CC60A5">
        <w:rPr>
          <w:rFonts w:ascii="Times New Roman" w:eastAsia="Times New Roman" w:hAnsi="Times New Roman" w:cs="Times New Roman"/>
          <w:b/>
          <w:sz w:val="24"/>
          <w:szCs w:val="24"/>
        </w:rPr>
        <w:t>SUGGESTED VERDICT FORM</w:t>
      </w:r>
      <w:r w:rsidRPr="00CC60A5">
        <w:rPr>
          <w:rFonts w:ascii="Times New Roman" w:eastAsia="Times New Roman" w:hAnsi="Times New Roman" w:cs="Times New Roman"/>
          <w:bCs w:val="0"/>
          <w:sz w:val="24"/>
          <w:szCs w:val="24"/>
        </w:rPr>
        <w:t> </w:t>
      </w:r>
    </w:p>
    <w:p w14:paraId="53A23440" w14:textId="77777777" w:rsidR="0001654B" w:rsidRPr="00CC60A5" w:rsidRDefault="0001654B" w:rsidP="0001654B">
      <w:pPr>
        <w:shd w:val="clear" w:color="auto" w:fill="FFFFFF"/>
        <w:spacing w:before="144" w:after="288" w:line="240" w:lineRule="auto"/>
        <w:ind w:left="1440" w:hanging="72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1.         Do you find from a preponderance of the evidence that the plaintiff was discharged from employment by the defendant employer?</w:t>
      </w:r>
    </w:p>
    <w:p w14:paraId="10BB5A0A" w14:textId="77777777" w:rsidR="0001654B" w:rsidRPr="00CC60A5" w:rsidRDefault="0001654B" w:rsidP="0001654B">
      <w:pPr>
        <w:shd w:val="clear" w:color="auto" w:fill="FFFFFF"/>
        <w:spacing w:before="144" w:after="288" w:line="240" w:lineRule="auto"/>
        <w:ind w:left="2160" w:hanging="216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________        ________</w:t>
      </w:r>
    </w:p>
    <w:p w14:paraId="7E79DC7D" w14:textId="77777777" w:rsidR="0001654B" w:rsidRPr="00CC60A5" w:rsidRDefault="0001654B" w:rsidP="0001654B">
      <w:pPr>
        <w:shd w:val="clear" w:color="auto" w:fill="FFFFFF"/>
        <w:spacing w:before="144" w:after="288" w:line="240" w:lineRule="auto"/>
        <w:ind w:left="2160" w:hanging="216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Yes                  No       </w:t>
      </w:r>
    </w:p>
    <w:p w14:paraId="240CA3B8"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If your answer to Question No. 1 is “no,” do not answer the remaining questions. Sign and date the verdict form and notify the bailiff.  If your answer to Question No. 1 is “yes,” proceed to Question No. 2. </w:t>
      </w:r>
    </w:p>
    <w:p w14:paraId="13F18A83" w14:textId="77777777" w:rsidR="0001654B" w:rsidRPr="00CC60A5" w:rsidRDefault="0001654B" w:rsidP="0001654B">
      <w:pPr>
        <w:shd w:val="clear" w:color="auto" w:fill="FFFFFF"/>
        <w:spacing w:before="144" w:after="288" w:line="240" w:lineRule="auto"/>
        <w:ind w:left="1440" w:hanging="72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2.         Do you find from a preponderance of the evidence that such discharge was without “just cause” (as defined in the Court’s instructions)?</w:t>
      </w:r>
    </w:p>
    <w:p w14:paraId="345B6DB3" w14:textId="77777777" w:rsidR="0001654B" w:rsidRPr="00CC60A5" w:rsidRDefault="0001654B" w:rsidP="0001654B">
      <w:pPr>
        <w:shd w:val="clear" w:color="auto" w:fill="FFFFFF"/>
        <w:spacing w:before="144" w:after="288" w:line="240" w:lineRule="auto"/>
        <w:ind w:left="2160" w:hanging="216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________        ________</w:t>
      </w:r>
    </w:p>
    <w:p w14:paraId="328C4904" w14:textId="77777777" w:rsidR="0001654B" w:rsidRPr="00CC60A5" w:rsidRDefault="0001654B" w:rsidP="0001654B">
      <w:pPr>
        <w:shd w:val="clear" w:color="auto" w:fill="FFFFFF"/>
        <w:spacing w:before="144" w:after="288" w:line="240" w:lineRule="auto"/>
        <w:ind w:left="2160" w:hanging="216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Yes                  No       </w:t>
      </w:r>
    </w:p>
    <w:p w14:paraId="4AD9E1E3"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If your answer to Question No. 2 is “no,” do not answer the remaining questions. Sign and date the verdict form and notify the bailiff.  If your answer to Question No. 2 is “yes,” proceed to Question No. 3. </w:t>
      </w:r>
    </w:p>
    <w:p w14:paraId="23BBAD97" w14:textId="61551DBF" w:rsidR="0001654B" w:rsidRPr="00CC60A5" w:rsidRDefault="0001654B" w:rsidP="0001654B">
      <w:pPr>
        <w:shd w:val="clear" w:color="auto" w:fill="FFFFFF"/>
        <w:spacing w:before="144" w:after="288" w:line="240" w:lineRule="auto"/>
        <w:ind w:left="1440" w:hanging="72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3.         Do you find from a preponderance of the evidence that the defendant union breached its duty of fair representation owed to the plaintiff as one of its members</w:t>
      </w:r>
      <w:r w:rsidR="004153A0" w:rsidRPr="00CC60A5">
        <w:rPr>
          <w:rFonts w:ascii="Times New Roman" w:eastAsia="Times New Roman" w:hAnsi="Times New Roman" w:cs="Times New Roman"/>
          <w:bCs w:val="0"/>
          <w:sz w:val="24"/>
          <w:szCs w:val="24"/>
        </w:rPr>
        <w:t xml:space="preserve"> by handling the grievance proceedings arbitrarily, discriminatorily, or in bad faith</w:t>
      </w:r>
      <w:r w:rsidRPr="00CC60A5">
        <w:rPr>
          <w:rFonts w:ascii="Times New Roman" w:eastAsia="Times New Roman" w:hAnsi="Times New Roman" w:cs="Times New Roman"/>
          <w:bCs w:val="0"/>
          <w:sz w:val="24"/>
          <w:szCs w:val="24"/>
        </w:rPr>
        <w:t>?</w:t>
      </w:r>
    </w:p>
    <w:p w14:paraId="71FF3173" w14:textId="77777777" w:rsidR="0001654B" w:rsidRPr="00CC60A5" w:rsidRDefault="0001654B" w:rsidP="0001654B">
      <w:pPr>
        <w:shd w:val="clear" w:color="auto" w:fill="FFFFFF"/>
        <w:spacing w:before="144" w:after="288" w:line="240" w:lineRule="auto"/>
        <w:ind w:left="2160" w:hanging="216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________        ________</w:t>
      </w:r>
    </w:p>
    <w:p w14:paraId="66190070" w14:textId="77777777" w:rsidR="0001654B" w:rsidRPr="00CC60A5" w:rsidRDefault="0001654B" w:rsidP="0001654B">
      <w:pPr>
        <w:shd w:val="clear" w:color="auto" w:fill="FFFFFF"/>
        <w:spacing w:before="144" w:after="288" w:line="240" w:lineRule="auto"/>
        <w:ind w:left="2160" w:hanging="216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Yes                  No       </w:t>
      </w:r>
    </w:p>
    <w:p w14:paraId="6832A5AC"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If your answer to Question No. 3 is “no,” do not answer the remaining questions. Sign and date the verdict form and notify the bailiff.  If your answer to Question No. 3 is “yes,” proceed to Question No. 4. </w:t>
      </w:r>
    </w:p>
    <w:p w14:paraId="7A0AA148" w14:textId="77777777" w:rsidR="0001654B" w:rsidRPr="00CC60A5" w:rsidRDefault="0001654B" w:rsidP="0001654B">
      <w:pPr>
        <w:shd w:val="clear" w:color="auto" w:fill="FFFFFF"/>
        <w:spacing w:before="144" w:after="288" w:line="240" w:lineRule="auto"/>
        <w:ind w:left="1440" w:hanging="72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lastRenderedPageBreak/>
        <w:t>4.         Do you find from a preponderance of the evidence that the plaintiff suffered damages from the above actions of [[the union] [the employer] [both the union and the employer]] in the amount of $________________? </w:t>
      </w:r>
    </w:p>
    <w:p w14:paraId="04DA3348"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[Proceed to Question No. 5 only if you found that the plaintiff suffered damages from the actions of both the union and the employer.] </w:t>
      </w:r>
    </w:p>
    <w:p w14:paraId="41EE08D4" w14:textId="77777777" w:rsidR="0001654B" w:rsidRPr="00CC60A5" w:rsidRDefault="0001654B" w:rsidP="0001654B">
      <w:pPr>
        <w:shd w:val="clear" w:color="auto" w:fill="FFFFFF"/>
        <w:spacing w:before="144" w:after="288" w:line="240" w:lineRule="auto"/>
        <w:ind w:left="1440" w:hanging="720"/>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5.         Do you find from a preponderance of the evidence that the plaintiff’s damages should be apportioned between the defendants, $_____________ to the defendant employer, and $______________ to the defendant union? </w:t>
      </w:r>
    </w:p>
    <w:p w14:paraId="63D58547"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 </w:t>
      </w:r>
    </w:p>
    <w:p w14:paraId="1166F3F3" w14:textId="77777777" w:rsidR="0001654B" w:rsidRPr="00CC60A5" w:rsidRDefault="0001654B" w:rsidP="0001654B">
      <w:pPr>
        <w:shd w:val="clear" w:color="auto" w:fill="FFFFFF"/>
        <w:spacing w:before="144" w:after="288" w:line="240" w:lineRule="auto"/>
        <w:rPr>
          <w:rFonts w:ascii="Times" w:eastAsia="Times New Roman" w:hAnsi="Times" w:cs="Times"/>
          <w:bCs w:val="0"/>
          <w:sz w:val="24"/>
          <w:szCs w:val="24"/>
        </w:rPr>
      </w:pPr>
      <w:r w:rsidRPr="00CC60A5">
        <w:rPr>
          <w:rFonts w:ascii="Times New Roman" w:eastAsia="Times New Roman" w:hAnsi="Times New Roman" w:cs="Times New Roman"/>
          <w:bCs w:val="0"/>
          <w:sz w:val="24"/>
          <w:szCs w:val="24"/>
        </w:rPr>
        <w:t>DATED:   </w:t>
      </w:r>
      <w:r w:rsidRPr="00CC60A5">
        <w:rPr>
          <w:rFonts w:ascii="Times New Roman" w:eastAsia="Times New Roman" w:hAnsi="Times New Roman" w:cs="Times New Roman"/>
          <w:bCs w:val="0"/>
          <w:sz w:val="24"/>
          <w:szCs w:val="24"/>
          <w:u w:val="single"/>
        </w:rPr>
        <w:t>                              </w:t>
      </w:r>
      <w:r w:rsidRPr="00CC60A5">
        <w:rPr>
          <w:rFonts w:ascii="Times New Roman" w:eastAsia="Times New Roman" w:hAnsi="Times New Roman" w:cs="Times New Roman"/>
          <w:bCs w:val="0"/>
          <w:sz w:val="24"/>
          <w:szCs w:val="24"/>
        </w:rPr>
        <w:t>                        </w:t>
      </w:r>
      <w:r w:rsidRPr="00CC60A5">
        <w:rPr>
          <w:rFonts w:ascii="Times New Roman" w:eastAsia="Times New Roman" w:hAnsi="Times New Roman" w:cs="Times New Roman"/>
          <w:bCs w:val="0"/>
          <w:sz w:val="24"/>
          <w:szCs w:val="24"/>
          <w:u w:val="single"/>
        </w:rPr>
        <w:t>                 </w:t>
      </w:r>
    </w:p>
    <w:p w14:paraId="40A2E541" w14:textId="3546B31C" w:rsidR="0001654B" w:rsidRPr="00CC60A5" w:rsidRDefault="0001654B" w:rsidP="000C77DD">
      <w:pPr>
        <w:shd w:val="clear" w:color="auto" w:fill="FFFFFF"/>
        <w:spacing w:before="144" w:after="288" w:line="240" w:lineRule="auto"/>
        <w:rPr>
          <w:rFonts w:ascii="Times New Roman" w:eastAsia="Times New Roman" w:hAnsi="Times New Roman" w:cs="Times New Roman"/>
          <w:bCs w:val="0"/>
          <w:sz w:val="24"/>
          <w:szCs w:val="24"/>
        </w:rPr>
      </w:pPr>
      <w:r w:rsidRPr="00CC60A5">
        <w:rPr>
          <w:rFonts w:ascii="Times New Roman" w:eastAsia="Times New Roman" w:hAnsi="Times New Roman" w:cs="Times New Roman"/>
          <w:bCs w:val="0"/>
          <w:sz w:val="24"/>
          <w:szCs w:val="24"/>
        </w:rPr>
        <w:t>                                                                        PRESIDING JUROR </w:t>
      </w:r>
      <w:bookmarkEnd w:id="0"/>
    </w:p>
    <w:p w14:paraId="745210FC" w14:textId="0748E6BE" w:rsidR="00774C43" w:rsidRPr="00CC60A5" w:rsidRDefault="00774C43" w:rsidP="000C77DD">
      <w:pPr>
        <w:shd w:val="clear" w:color="auto" w:fill="FFFFFF"/>
        <w:spacing w:before="144" w:after="288" w:line="240" w:lineRule="auto"/>
        <w:rPr>
          <w:rFonts w:ascii="Times New Roman" w:eastAsia="Times New Roman" w:hAnsi="Times New Roman" w:cs="Times New Roman"/>
          <w:bCs w:val="0"/>
          <w:sz w:val="24"/>
          <w:szCs w:val="24"/>
        </w:rPr>
      </w:pPr>
    </w:p>
    <w:p w14:paraId="12C8C6A4" w14:textId="5338016F" w:rsidR="00774C43" w:rsidRPr="00CC60A5" w:rsidRDefault="00774C43" w:rsidP="00774C43">
      <w:pPr>
        <w:shd w:val="clear" w:color="auto" w:fill="FFFFFF"/>
        <w:spacing w:before="144" w:after="288" w:line="240" w:lineRule="auto"/>
        <w:jc w:val="right"/>
        <w:rPr>
          <w:rFonts w:ascii="Times" w:eastAsia="Times New Roman" w:hAnsi="Times" w:cs="Times"/>
          <w:bCs w:val="0"/>
          <w:i/>
          <w:iCs/>
          <w:sz w:val="24"/>
          <w:szCs w:val="24"/>
        </w:rPr>
      </w:pPr>
      <w:r w:rsidRPr="00CC60A5">
        <w:rPr>
          <w:rFonts w:ascii="Times New Roman" w:eastAsia="Times New Roman" w:hAnsi="Times New Roman" w:cs="Times New Roman"/>
          <w:bCs w:val="0"/>
          <w:i/>
          <w:iCs/>
          <w:sz w:val="24"/>
          <w:szCs w:val="24"/>
        </w:rPr>
        <w:t>Revised Mar. 2023</w:t>
      </w:r>
    </w:p>
    <w:sectPr w:rsidR="00774C43" w:rsidRPr="00CC6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E7F"/>
    <w:rsid w:val="00002C9B"/>
    <w:rsid w:val="00003F2D"/>
    <w:rsid w:val="00013D13"/>
    <w:rsid w:val="00014A92"/>
    <w:rsid w:val="0001654B"/>
    <w:rsid w:val="00021DF1"/>
    <w:rsid w:val="0002698A"/>
    <w:rsid w:val="0003502B"/>
    <w:rsid w:val="000622CD"/>
    <w:rsid w:val="000666D2"/>
    <w:rsid w:val="000824A9"/>
    <w:rsid w:val="000C77DD"/>
    <w:rsid w:val="000D3453"/>
    <w:rsid w:val="000E6BEF"/>
    <w:rsid w:val="000E7019"/>
    <w:rsid w:val="00104E86"/>
    <w:rsid w:val="00107321"/>
    <w:rsid w:val="00114901"/>
    <w:rsid w:val="00134469"/>
    <w:rsid w:val="00135FB8"/>
    <w:rsid w:val="00150B75"/>
    <w:rsid w:val="001528C9"/>
    <w:rsid w:val="001615FA"/>
    <w:rsid w:val="00163F5F"/>
    <w:rsid w:val="00165AC6"/>
    <w:rsid w:val="00184D1E"/>
    <w:rsid w:val="00187A8F"/>
    <w:rsid w:val="00190771"/>
    <w:rsid w:val="0019532F"/>
    <w:rsid w:val="001A4850"/>
    <w:rsid w:val="001A72CB"/>
    <w:rsid w:val="001C43AC"/>
    <w:rsid w:val="001D09D6"/>
    <w:rsid w:val="001D4485"/>
    <w:rsid w:val="001E4AD3"/>
    <w:rsid w:val="001F059E"/>
    <w:rsid w:val="001F5C69"/>
    <w:rsid w:val="00200783"/>
    <w:rsid w:val="00215DE0"/>
    <w:rsid w:val="00220C86"/>
    <w:rsid w:val="00227019"/>
    <w:rsid w:val="002279FD"/>
    <w:rsid w:val="00232AD1"/>
    <w:rsid w:val="00237D91"/>
    <w:rsid w:val="0024549C"/>
    <w:rsid w:val="00250010"/>
    <w:rsid w:val="0025248B"/>
    <w:rsid w:val="00253ACD"/>
    <w:rsid w:val="002548B0"/>
    <w:rsid w:val="002550DD"/>
    <w:rsid w:val="002806E4"/>
    <w:rsid w:val="002863BE"/>
    <w:rsid w:val="00294878"/>
    <w:rsid w:val="002A4F2A"/>
    <w:rsid w:val="002C4CEE"/>
    <w:rsid w:val="002D1B6D"/>
    <w:rsid w:val="002E54B3"/>
    <w:rsid w:val="002F0DFF"/>
    <w:rsid w:val="003064C9"/>
    <w:rsid w:val="0032250C"/>
    <w:rsid w:val="00324250"/>
    <w:rsid w:val="0033423D"/>
    <w:rsid w:val="00355388"/>
    <w:rsid w:val="00362F6A"/>
    <w:rsid w:val="003779C2"/>
    <w:rsid w:val="00384826"/>
    <w:rsid w:val="0039232D"/>
    <w:rsid w:val="003A07E2"/>
    <w:rsid w:val="003A5F4F"/>
    <w:rsid w:val="003A7521"/>
    <w:rsid w:val="003B6842"/>
    <w:rsid w:val="003B6B53"/>
    <w:rsid w:val="003B727F"/>
    <w:rsid w:val="003D1BEB"/>
    <w:rsid w:val="003D4C38"/>
    <w:rsid w:val="003D68D5"/>
    <w:rsid w:val="003F3CE9"/>
    <w:rsid w:val="003F54FF"/>
    <w:rsid w:val="004153A0"/>
    <w:rsid w:val="00420943"/>
    <w:rsid w:val="0042494E"/>
    <w:rsid w:val="00441A6F"/>
    <w:rsid w:val="004471FE"/>
    <w:rsid w:val="0046370C"/>
    <w:rsid w:val="00475D2C"/>
    <w:rsid w:val="004856A6"/>
    <w:rsid w:val="00485F78"/>
    <w:rsid w:val="00494801"/>
    <w:rsid w:val="004C4B04"/>
    <w:rsid w:val="004E6FF8"/>
    <w:rsid w:val="004F7096"/>
    <w:rsid w:val="0051088B"/>
    <w:rsid w:val="00512AE6"/>
    <w:rsid w:val="005205E7"/>
    <w:rsid w:val="0052569E"/>
    <w:rsid w:val="005363B2"/>
    <w:rsid w:val="00554C06"/>
    <w:rsid w:val="00554DAC"/>
    <w:rsid w:val="00556D17"/>
    <w:rsid w:val="0056308B"/>
    <w:rsid w:val="00596936"/>
    <w:rsid w:val="005A0E7F"/>
    <w:rsid w:val="005B302F"/>
    <w:rsid w:val="005C79F7"/>
    <w:rsid w:val="005D1D38"/>
    <w:rsid w:val="005D3001"/>
    <w:rsid w:val="005D6B99"/>
    <w:rsid w:val="005E720F"/>
    <w:rsid w:val="00610DEF"/>
    <w:rsid w:val="00613969"/>
    <w:rsid w:val="00632934"/>
    <w:rsid w:val="00640C2F"/>
    <w:rsid w:val="00642325"/>
    <w:rsid w:val="00654272"/>
    <w:rsid w:val="006559FB"/>
    <w:rsid w:val="006650B6"/>
    <w:rsid w:val="006678F8"/>
    <w:rsid w:val="006833A1"/>
    <w:rsid w:val="0068511A"/>
    <w:rsid w:val="00687775"/>
    <w:rsid w:val="006914C5"/>
    <w:rsid w:val="006931B5"/>
    <w:rsid w:val="006A6AF7"/>
    <w:rsid w:val="006D2E95"/>
    <w:rsid w:val="006D5BB8"/>
    <w:rsid w:val="006D66C4"/>
    <w:rsid w:val="006F229D"/>
    <w:rsid w:val="006F4B1F"/>
    <w:rsid w:val="006F679C"/>
    <w:rsid w:val="00706FEC"/>
    <w:rsid w:val="00723652"/>
    <w:rsid w:val="0073520C"/>
    <w:rsid w:val="00760DB3"/>
    <w:rsid w:val="00766525"/>
    <w:rsid w:val="007719F3"/>
    <w:rsid w:val="00774C43"/>
    <w:rsid w:val="00780BCE"/>
    <w:rsid w:val="00787A42"/>
    <w:rsid w:val="00791C30"/>
    <w:rsid w:val="00792B23"/>
    <w:rsid w:val="007A5223"/>
    <w:rsid w:val="007A5301"/>
    <w:rsid w:val="007A619F"/>
    <w:rsid w:val="007B39B6"/>
    <w:rsid w:val="007C6652"/>
    <w:rsid w:val="007D7785"/>
    <w:rsid w:val="007E0FD0"/>
    <w:rsid w:val="007E5C62"/>
    <w:rsid w:val="007F2ECF"/>
    <w:rsid w:val="007F5537"/>
    <w:rsid w:val="007F737F"/>
    <w:rsid w:val="00813361"/>
    <w:rsid w:val="00830DD8"/>
    <w:rsid w:val="00831B77"/>
    <w:rsid w:val="00845972"/>
    <w:rsid w:val="00853744"/>
    <w:rsid w:val="0086469B"/>
    <w:rsid w:val="00872F53"/>
    <w:rsid w:val="00884579"/>
    <w:rsid w:val="008934CA"/>
    <w:rsid w:val="008A2A59"/>
    <w:rsid w:val="008C0705"/>
    <w:rsid w:val="008D2760"/>
    <w:rsid w:val="008D2A76"/>
    <w:rsid w:val="008D33C8"/>
    <w:rsid w:val="008E5736"/>
    <w:rsid w:val="0090320E"/>
    <w:rsid w:val="00904092"/>
    <w:rsid w:val="009057E2"/>
    <w:rsid w:val="00921716"/>
    <w:rsid w:val="009254F1"/>
    <w:rsid w:val="009411DD"/>
    <w:rsid w:val="009447CD"/>
    <w:rsid w:val="00953FAE"/>
    <w:rsid w:val="0096199B"/>
    <w:rsid w:val="00962738"/>
    <w:rsid w:val="009708B9"/>
    <w:rsid w:val="009747B3"/>
    <w:rsid w:val="00984D87"/>
    <w:rsid w:val="009959FC"/>
    <w:rsid w:val="009A0800"/>
    <w:rsid w:val="009A7174"/>
    <w:rsid w:val="009A7BDE"/>
    <w:rsid w:val="009B42A5"/>
    <w:rsid w:val="009C7CD0"/>
    <w:rsid w:val="00A2400C"/>
    <w:rsid w:val="00A30D67"/>
    <w:rsid w:val="00A32CA3"/>
    <w:rsid w:val="00A3482F"/>
    <w:rsid w:val="00A41B24"/>
    <w:rsid w:val="00A47395"/>
    <w:rsid w:val="00A51055"/>
    <w:rsid w:val="00A54217"/>
    <w:rsid w:val="00A57B72"/>
    <w:rsid w:val="00A618E8"/>
    <w:rsid w:val="00A63C5F"/>
    <w:rsid w:val="00A70A52"/>
    <w:rsid w:val="00A723E9"/>
    <w:rsid w:val="00A764A3"/>
    <w:rsid w:val="00A76C44"/>
    <w:rsid w:val="00A80BDA"/>
    <w:rsid w:val="00A81533"/>
    <w:rsid w:val="00A936B1"/>
    <w:rsid w:val="00A943A7"/>
    <w:rsid w:val="00A9672F"/>
    <w:rsid w:val="00AB2405"/>
    <w:rsid w:val="00AB525C"/>
    <w:rsid w:val="00AC427D"/>
    <w:rsid w:val="00B10993"/>
    <w:rsid w:val="00B32850"/>
    <w:rsid w:val="00B459A2"/>
    <w:rsid w:val="00B804F3"/>
    <w:rsid w:val="00B83119"/>
    <w:rsid w:val="00BB65C4"/>
    <w:rsid w:val="00BD58CC"/>
    <w:rsid w:val="00BD5E8D"/>
    <w:rsid w:val="00BF4066"/>
    <w:rsid w:val="00C0226A"/>
    <w:rsid w:val="00C31FA4"/>
    <w:rsid w:val="00C40DD9"/>
    <w:rsid w:val="00C45D77"/>
    <w:rsid w:val="00C46C9D"/>
    <w:rsid w:val="00C56BEC"/>
    <w:rsid w:val="00C72F0B"/>
    <w:rsid w:val="00C8510C"/>
    <w:rsid w:val="00CB41AB"/>
    <w:rsid w:val="00CC0BC4"/>
    <w:rsid w:val="00CC60A5"/>
    <w:rsid w:val="00CE252B"/>
    <w:rsid w:val="00D14296"/>
    <w:rsid w:val="00D179BC"/>
    <w:rsid w:val="00D35DC5"/>
    <w:rsid w:val="00D52728"/>
    <w:rsid w:val="00D5335D"/>
    <w:rsid w:val="00D66D5E"/>
    <w:rsid w:val="00D66DE5"/>
    <w:rsid w:val="00D723FB"/>
    <w:rsid w:val="00D8063B"/>
    <w:rsid w:val="00D86990"/>
    <w:rsid w:val="00DB0418"/>
    <w:rsid w:val="00DB145A"/>
    <w:rsid w:val="00DB1E21"/>
    <w:rsid w:val="00DD4779"/>
    <w:rsid w:val="00E2333B"/>
    <w:rsid w:val="00E32AF3"/>
    <w:rsid w:val="00E47195"/>
    <w:rsid w:val="00E477ED"/>
    <w:rsid w:val="00E53037"/>
    <w:rsid w:val="00E57D59"/>
    <w:rsid w:val="00E633E9"/>
    <w:rsid w:val="00E643F5"/>
    <w:rsid w:val="00E65D03"/>
    <w:rsid w:val="00E67CB5"/>
    <w:rsid w:val="00E85A42"/>
    <w:rsid w:val="00E86B10"/>
    <w:rsid w:val="00E94E97"/>
    <w:rsid w:val="00EB042F"/>
    <w:rsid w:val="00ED3060"/>
    <w:rsid w:val="00EF7449"/>
    <w:rsid w:val="00F13CC8"/>
    <w:rsid w:val="00FA245C"/>
    <w:rsid w:val="00FC2B3A"/>
    <w:rsid w:val="00FD6551"/>
    <w:rsid w:val="00FE2AC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A4F7A"/>
  <w15:chartTrackingRefBased/>
  <w15:docId w15:val="{56726155-3142-4D22-B7A1-5E374575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6"/>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800"/>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FootnoteText"/>
    <w:link w:val="FootnotesChar"/>
    <w:qFormat/>
    <w:rsid w:val="009A0800"/>
  </w:style>
  <w:style w:type="character" w:customStyle="1" w:styleId="FootnotesChar">
    <w:name w:val="Footnotes Char"/>
    <w:basedOn w:val="FootnoteTextChar"/>
    <w:link w:val="Footnotes"/>
    <w:rsid w:val="009A0800"/>
    <w:rPr>
      <w:kern w:val="22"/>
      <w:sz w:val="22"/>
    </w:rPr>
  </w:style>
  <w:style w:type="paragraph" w:styleId="FootnoteText">
    <w:name w:val="footnote text"/>
    <w:basedOn w:val="Normal"/>
    <w:link w:val="FootnoteTextChar"/>
    <w:uiPriority w:val="99"/>
    <w:unhideWhenUsed/>
    <w:qFormat/>
    <w:rsid w:val="009A0800"/>
    <w:pPr>
      <w:spacing w:after="200" w:line="240" w:lineRule="auto"/>
    </w:pPr>
    <w:rPr>
      <w:kern w:val="22"/>
      <w:sz w:val="22"/>
    </w:rPr>
  </w:style>
  <w:style w:type="character" w:customStyle="1" w:styleId="FootnoteTextChar">
    <w:name w:val="Footnote Text Char"/>
    <w:basedOn w:val="DefaultParagraphFont"/>
    <w:link w:val="FootnoteText"/>
    <w:uiPriority w:val="99"/>
    <w:rsid w:val="009A0800"/>
    <w:rPr>
      <w:kern w:val="22"/>
      <w:sz w:val="22"/>
    </w:rPr>
  </w:style>
  <w:style w:type="character" w:customStyle="1" w:styleId="printhtml">
    <w:name w:val="print_html"/>
    <w:basedOn w:val="DefaultParagraphFont"/>
    <w:rsid w:val="0001654B"/>
  </w:style>
  <w:style w:type="character" w:styleId="Strong">
    <w:name w:val="Strong"/>
    <w:basedOn w:val="DefaultParagraphFont"/>
    <w:uiPriority w:val="22"/>
    <w:qFormat/>
    <w:rsid w:val="0001654B"/>
    <w:rPr>
      <w:b/>
      <w:bCs w:val="0"/>
    </w:rPr>
  </w:style>
  <w:style w:type="character" w:styleId="Emphasis">
    <w:name w:val="Emphasis"/>
    <w:basedOn w:val="DefaultParagraphFont"/>
    <w:uiPriority w:val="20"/>
    <w:qFormat/>
    <w:rsid w:val="0001654B"/>
    <w:rPr>
      <w:i/>
      <w:iCs/>
    </w:rPr>
  </w:style>
  <w:style w:type="paragraph" w:styleId="Revision">
    <w:name w:val="Revision"/>
    <w:hidden/>
    <w:uiPriority w:val="99"/>
    <w:semiHidden/>
    <w:rsid w:val="007E5C62"/>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3037">
      <w:bodyDiv w:val="1"/>
      <w:marLeft w:val="0"/>
      <w:marRight w:val="0"/>
      <w:marTop w:val="0"/>
      <w:marBottom w:val="0"/>
      <w:divBdr>
        <w:top w:val="none" w:sz="0" w:space="0" w:color="auto"/>
        <w:left w:val="none" w:sz="0" w:space="0" w:color="auto"/>
        <w:bottom w:val="none" w:sz="0" w:space="0" w:color="auto"/>
        <w:right w:val="none" w:sz="0" w:space="0" w:color="auto"/>
      </w:divBdr>
    </w:div>
    <w:div w:id="2111274302">
      <w:bodyDiv w:val="1"/>
      <w:marLeft w:val="0"/>
      <w:marRight w:val="0"/>
      <w:marTop w:val="0"/>
      <w:marBottom w:val="0"/>
      <w:divBdr>
        <w:top w:val="none" w:sz="0" w:space="0" w:color="auto"/>
        <w:left w:val="none" w:sz="0" w:space="0" w:color="auto"/>
        <w:bottom w:val="none" w:sz="0" w:space="0" w:color="auto"/>
        <w:right w:val="none" w:sz="0" w:space="0" w:color="auto"/>
      </w:divBdr>
      <w:divsChild>
        <w:div w:id="648169514">
          <w:marLeft w:val="0"/>
          <w:marRight w:val="0"/>
          <w:marTop w:val="0"/>
          <w:marBottom w:val="0"/>
          <w:divBdr>
            <w:top w:val="none" w:sz="0" w:space="0" w:color="auto"/>
            <w:left w:val="none" w:sz="0" w:space="0" w:color="auto"/>
            <w:bottom w:val="none" w:sz="0" w:space="0" w:color="auto"/>
            <w:right w:val="none" w:sz="0" w:space="0" w:color="auto"/>
          </w:divBdr>
          <w:divsChild>
            <w:div w:id="211844149">
              <w:marLeft w:val="0"/>
              <w:marRight w:val="0"/>
              <w:marTop w:val="0"/>
              <w:marBottom w:val="0"/>
              <w:divBdr>
                <w:top w:val="none" w:sz="0" w:space="0" w:color="auto"/>
                <w:left w:val="none" w:sz="0" w:space="0" w:color="auto"/>
                <w:bottom w:val="none" w:sz="0" w:space="0" w:color="auto"/>
                <w:right w:val="none" w:sz="0" w:space="0" w:color="auto"/>
              </w:divBdr>
              <w:divsChild>
                <w:div w:id="16556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ACC5F-2C53-432B-8BE9-51B4EDB79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Mendolia</dc:creator>
  <cp:keywords/>
  <dc:description/>
  <cp:lastModifiedBy>Ava Amerie</cp:lastModifiedBy>
  <cp:revision>2</cp:revision>
  <cp:lastPrinted>2023-02-21T19:33:00Z</cp:lastPrinted>
  <dcterms:created xsi:type="dcterms:W3CDTF">2023-04-21T21:32:00Z</dcterms:created>
  <dcterms:modified xsi:type="dcterms:W3CDTF">2023-04-21T21:32:00Z</dcterms:modified>
</cp:coreProperties>
</file>