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57D25" w14:textId="77777777" w:rsidR="00C72831" w:rsidRPr="006A4CD7" w:rsidRDefault="00C72831" w:rsidP="00C72831">
      <w:pPr>
        <w:pStyle w:val="Heading2"/>
      </w:pPr>
      <w:bookmarkStart w:id="0" w:name="_Toc149646539"/>
      <w:r w:rsidRPr="006A4CD7">
        <w:t xml:space="preserve">15.12 </w:t>
      </w:r>
      <w:r w:rsidRPr="002D3E69">
        <w:t>Infringement—Elements—Validity—Trade Dress</w:t>
      </w:r>
      <w:r>
        <w:br/>
      </w:r>
      <w:r w:rsidRPr="002D3E69">
        <w:t>—Non-Functionality Requirement</w:t>
      </w:r>
      <w:bookmarkEnd w:id="0"/>
    </w:p>
    <w:p w14:paraId="41CE9A95" w14:textId="77777777" w:rsidR="00C72831" w:rsidRPr="006A4CD7" w:rsidRDefault="00C72831" w:rsidP="00C72831">
      <w:pPr>
        <w:autoSpaceDE w:val="0"/>
        <w:autoSpaceDN w:val="0"/>
        <w:adjustRightInd w:val="0"/>
        <w:rPr>
          <w:rFonts w:cs="Times New Roman"/>
          <w:szCs w:val="24"/>
        </w:rPr>
      </w:pPr>
    </w:p>
    <w:p w14:paraId="2E0D0B11" w14:textId="77777777"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For a product’s design to be protected under trademark law, the design must be non-functional. </w:t>
      </w:r>
    </w:p>
    <w:p w14:paraId="456E59DA" w14:textId="77777777" w:rsidR="00C72831" w:rsidRPr="006A4CD7" w:rsidRDefault="00C72831" w:rsidP="00C72831">
      <w:pPr>
        <w:autoSpaceDE w:val="0"/>
        <w:autoSpaceDN w:val="0"/>
        <w:adjustRightInd w:val="0"/>
        <w:rPr>
          <w:rFonts w:cs="Times New Roman"/>
          <w:szCs w:val="24"/>
        </w:rPr>
      </w:pPr>
    </w:p>
    <w:p w14:paraId="3579CF65" w14:textId="77777777"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[A product may be functional in either of two ways. They are referred to as “utilitarian functionality” and “aesthetic functionality.”] </w:t>
      </w:r>
    </w:p>
    <w:p w14:paraId="1D162F4F" w14:textId="77777777" w:rsidR="00C72831" w:rsidRPr="006A4CD7" w:rsidRDefault="00C72831" w:rsidP="00C72831">
      <w:pPr>
        <w:autoSpaceDE w:val="0"/>
        <w:autoSpaceDN w:val="0"/>
        <w:adjustRightInd w:val="0"/>
        <w:rPr>
          <w:rFonts w:cs="Times New Roman"/>
          <w:szCs w:val="24"/>
        </w:rPr>
      </w:pPr>
    </w:p>
    <w:p w14:paraId="7721A677" w14:textId="77777777"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A claimed trade dress has [utilitarian] functionality if it is essential to the use or purpose of a product or affects its cost or quality. To determine whether this definition is satisfied, you should consider the following factors: </w:t>
      </w:r>
    </w:p>
    <w:p w14:paraId="60FC08FB" w14:textId="77777777" w:rsidR="00C72831" w:rsidRPr="006A4CD7" w:rsidRDefault="00C72831" w:rsidP="00C72831">
      <w:pPr>
        <w:autoSpaceDE w:val="0"/>
        <w:autoSpaceDN w:val="0"/>
        <w:adjustRightInd w:val="0"/>
        <w:rPr>
          <w:rFonts w:cs="Times New Roman"/>
          <w:szCs w:val="24"/>
        </w:rPr>
      </w:pPr>
    </w:p>
    <w:p w14:paraId="3FF178CC" w14:textId="77777777" w:rsidR="00C72831" w:rsidRPr="006A4CD7" w:rsidRDefault="00C72831" w:rsidP="00C72831">
      <w:pPr>
        <w:autoSpaceDE w:val="0"/>
        <w:autoSpaceDN w:val="0"/>
        <w:adjustRightInd w:val="0"/>
        <w:ind w:left="720" w:hanging="720"/>
        <w:rPr>
          <w:rFonts w:cs="Times New Roman"/>
          <w:szCs w:val="24"/>
        </w:rPr>
      </w:pPr>
      <w:r w:rsidRPr="006A4CD7">
        <w:rPr>
          <w:rFonts w:cs="Times New Roman"/>
          <w:szCs w:val="24"/>
        </w:rPr>
        <w:tab/>
        <w:t>(1)</w:t>
      </w:r>
      <w:r w:rsidRPr="006A4CD7">
        <w:rPr>
          <w:rFonts w:cs="Times New Roman"/>
          <w:szCs w:val="24"/>
        </w:rPr>
        <w:tab/>
        <w:t xml:space="preserve">whether the design yields a utilitarian advantage in how well the product </w:t>
      </w:r>
      <w:proofErr w:type="gramStart"/>
      <w:r w:rsidRPr="006A4CD7">
        <w:rPr>
          <w:rFonts w:cs="Times New Roman"/>
          <w:szCs w:val="24"/>
        </w:rPr>
        <w:t>works;</w:t>
      </w:r>
      <w:proofErr w:type="gramEnd"/>
      <w:r w:rsidRPr="006A4CD7">
        <w:rPr>
          <w:rFonts w:cs="Times New Roman"/>
          <w:szCs w:val="24"/>
        </w:rPr>
        <w:t xml:space="preserve"> </w:t>
      </w:r>
    </w:p>
    <w:p w14:paraId="2DB40E5D" w14:textId="77777777" w:rsidR="00C72831" w:rsidRPr="006A4CD7" w:rsidRDefault="00C72831" w:rsidP="00C72831">
      <w:pPr>
        <w:autoSpaceDE w:val="0"/>
        <w:autoSpaceDN w:val="0"/>
        <w:adjustRightInd w:val="0"/>
        <w:ind w:left="720" w:hanging="720"/>
        <w:rPr>
          <w:rFonts w:cs="Times New Roman"/>
          <w:szCs w:val="24"/>
        </w:rPr>
      </w:pPr>
    </w:p>
    <w:p w14:paraId="6F97E0F8" w14:textId="77777777" w:rsidR="00C72831" w:rsidRPr="006A4CD7" w:rsidRDefault="00C72831" w:rsidP="00C72831">
      <w:pPr>
        <w:autoSpaceDE w:val="0"/>
        <w:autoSpaceDN w:val="0"/>
        <w:adjustRightInd w:val="0"/>
        <w:ind w:left="720" w:hanging="720"/>
        <w:rPr>
          <w:rFonts w:cs="Times New Roman"/>
          <w:szCs w:val="24"/>
        </w:rPr>
      </w:pPr>
      <w:r w:rsidRPr="006A4CD7">
        <w:rPr>
          <w:rFonts w:cs="Times New Roman"/>
          <w:szCs w:val="24"/>
        </w:rPr>
        <w:tab/>
        <w:t>(2)</w:t>
      </w:r>
      <w:r w:rsidRPr="006A4CD7">
        <w:rPr>
          <w:rFonts w:cs="Times New Roman"/>
          <w:szCs w:val="24"/>
        </w:rPr>
        <w:tab/>
        <w:t xml:space="preserve">whether alternative designs are </w:t>
      </w:r>
      <w:proofErr w:type="gramStart"/>
      <w:r w:rsidRPr="006A4CD7">
        <w:rPr>
          <w:rFonts w:cs="Times New Roman"/>
          <w:szCs w:val="24"/>
        </w:rPr>
        <w:t>available;</w:t>
      </w:r>
      <w:proofErr w:type="gramEnd"/>
      <w:r w:rsidRPr="006A4CD7">
        <w:rPr>
          <w:rFonts w:cs="Times New Roman"/>
          <w:szCs w:val="24"/>
        </w:rPr>
        <w:t xml:space="preserve"> </w:t>
      </w:r>
    </w:p>
    <w:p w14:paraId="309E8C78" w14:textId="77777777" w:rsidR="00C72831" w:rsidRPr="006A4CD7" w:rsidRDefault="00C72831" w:rsidP="00C72831">
      <w:pPr>
        <w:autoSpaceDE w:val="0"/>
        <w:autoSpaceDN w:val="0"/>
        <w:adjustRightInd w:val="0"/>
        <w:ind w:left="720" w:hanging="720"/>
        <w:rPr>
          <w:rFonts w:cs="Times New Roman"/>
          <w:szCs w:val="24"/>
        </w:rPr>
      </w:pPr>
    </w:p>
    <w:p w14:paraId="4D7FB388" w14:textId="77777777" w:rsidR="00C72831" w:rsidRPr="006A4CD7" w:rsidRDefault="00C72831" w:rsidP="00C72831">
      <w:pPr>
        <w:autoSpaceDE w:val="0"/>
        <w:autoSpaceDN w:val="0"/>
        <w:adjustRightInd w:val="0"/>
        <w:ind w:left="720" w:hanging="720"/>
        <w:rPr>
          <w:rFonts w:cs="Times New Roman"/>
          <w:szCs w:val="24"/>
        </w:rPr>
      </w:pPr>
      <w:r w:rsidRPr="006A4CD7">
        <w:rPr>
          <w:rFonts w:cs="Times New Roman"/>
          <w:szCs w:val="24"/>
        </w:rPr>
        <w:tab/>
        <w:t>(3)</w:t>
      </w:r>
      <w:r w:rsidRPr="006A4CD7">
        <w:rPr>
          <w:rFonts w:cs="Times New Roman"/>
          <w:szCs w:val="24"/>
        </w:rPr>
        <w:tab/>
        <w:t xml:space="preserve">whether advertising touts the utilitarian advantages of the design; and </w:t>
      </w:r>
    </w:p>
    <w:p w14:paraId="37173D60" w14:textId="77777777" w:rsidR="00C72831" w:rsidRPr="006A4CD7" w:rsidRDefault="00C72831" w:rsidP="00C72831">
      <w:pPr>
        <w:autoSpaceDE w:val="0"/>
        <w:autoSpaceDN w:val="0"/>
        <w:adjustRightInd w:val="0"/>
        <w:ind w:left="720" w:hanging="720"/>
        <w:rPr>
          <w:rFonts w:cs="Times New Roman"/>
          <w:szCs w:val="24"/>
        </w:rPr>
      </w:pPr>
    </w:p>
    <w:p w14:paraId="119A64F8" w14:textId="77777777" w:rsidR="00C72831" w:rsidRPr="006A4CD7" w:rsidRDefault="00C72831" w:rsidP="00C72831">
      <w:pPr>
        <w:autoSpaceDE w:val="0"/>
        <w:autoSpaceDN w:val="0"/>
        <w:adjustRightInd w:val="0"/>
        <w:ind w:left="720" w:hanging="720"/>
        <w:rPr>
          <w:rFonts w:cs="Times New Roman"/>
          <w:szCs w:val="24"/>
        </w:rPr>
      </w:pPr>
      <w:r>
        <w:rPr>
          <w:rFonts w:cs="Times New Roman"/>
          <w:szCs w:val="24"/>
        </w:rPr>
        <w:tab/>
      </w:r>
      <w:r w:rsidRPr="006A4CD7">
        <w:rPr>
          <w:rFonts w:cs="Times New Roman"/>
          <w:szCs w:val="24"/>
        </w:rPr>
        <w:t>(4)</w:t>
      </w:r>
      <w:r w:rsidRPr="006A4CD7">
        <w:rPr>
          <w:rFonts w:cs="Times New Roman"/>
          <w:szCs w:val="24"/>
        </w:rPr>
        <w:tab/>
        <w:t xml:space="preserve">whether the particular design results from a comparatively simple or inexpensive method of manufacture.  </w:t>
      </w:r>
    </w:p>
    <w:p w14:paraId="6B203071" w14:textId="77777777" w:rsidR="00C72831" w:rsidRPr="006A4CD7" w:rsidRDefault="00C72831" w:rsidP="00C72831">
      <w:pPr>
        <w:autoSpaceDE w:val="0"/>
        <w:autoSpaceDN w:val="0"/>
        <w:adjustRightInd w:val="0"/>
        <w:rPr>
          <w:rFonts w:cs="Times New Roman"/>
          <w:szCs w:val="24"/>
        </w:rPr>
      </w:pPr>
    </w:p>
    <w:p w14:paraId="4CEF61A6" w14:textId="77777777"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No one factor is dispositive; all should be weighed together. </w:t>
      </w:r>
    </w:p>
    <w:p w14:paraId="16820E39" w14:textId="77777777" w:rsidR="00C72831" w:rsidRPr="006A4CD7" w:rsidRDefault="00C72831" w:rsidP="00C72831">
      <w:pPr>
        <w:autoSpaceDE w:val="0"/>
        <w:autoSpaceDN w:val="0"/>
        <w:adjustRightInd w:val="0"/>
        <w:rPr>
          <w:rFonts w:cs="Times New Roman"/>
          <w:szCs w:val="24"/>
        </w:rPr>
      </w:pPr>
    </w:p>
    <w:p w14:paraId="16687049" w14:textId="77777777" w:rsidR="00C72831" w:rsidRPr="006A4CD7" w:rsidRDefault="00C72831" w:rsidP="00C72831">
      <w:pPr>
        <w:autoSpaceDE w:val="0"/>
        <w:autoSpaceDN w:val="0"/>
        <w:adjustRightInd w:val="0"/>
        <w:rPr>
          <w:rFonts w:cs="Times New Roman"/>
          <w:strike/>
          <w:szCs w:val="24"/>
        </w:rPr>
      </w:pPr>
      <w:r w:rsidRPr="006A4CD7">
        <w:rPr>
          <w:rFonts w:cs="Times New Roman"/>
          <w:szCs w:val="24"/>
        </w:rPr>
        <w:tab/>
        <w:t xml:space="preserve">[A claimed trade dress has aesthetic functionality if it serves an aesthetic purpose wholly independent of any source identifying function, such that the trade dress’s protection under trademark law would impose a significant non-reputation-related competitive disadvantage on its owner’s competitors. The inquiry is whether, if one seller were given exclusive rights to use the claimed trade dress, other sellers would be forced to use alternative designs that make their products more costly to sell, or for which consumers’ willingness to pay would be lower for reasons having nothing to do with the reputation of any source (e.g., the alternative designs would not have as much intrinsic aesthetic appeal).] </w:t>
      </w:r>
    </w:p>
    <w:p w14:paraId="3FA85040" w14:textId="77777777" w:rsidR="00C72831" w:rsidRPr="006A4CD7" w:rsidRDefault="00C72831" w:rsidP="00C72831">
      <w:pPr>
        <w:autoSpaceDE w:val="0"/>
        <w:autoSpaceDN w:val="0"/>
        <w:adjustRightInd w:val="0"/>
        <w:rPr>
          <w:rFonts w:cs="Times New Roman"/>
          <w:szCs w:val="24"/>
        </w:rPr>
      </w:pPr>
    </w:p>
    <w:p w14:paraId="371B75C7" w14:textId="03B13395"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[The plaintiff has the burden of proving non-functionality by a preponderance of the evidence [to show that the trade dress is valid and protected from infringement].] </w:t>
      </w:r>
    </w:p>
    <w:p w14:paraId="3382148E" w14:textId="77777777" w:rsidR="00C72831" w:rsidRPr="006A4CD7" w:rsidRDefault="00C72831" w:rsidP="00C72831"/>
    <w:p w14:paraId="205B6D72" w14:textId="77777777" w:rsidR="00C72831" w:rsidRPr="006A4CD7" w:rsidRDefault="00C72831" w:rsidP="00C72831">
      <w:pPr>
        <w:autoSpaceDE w:val="0"/>
        <w:autoSpaceDN w:val="0"/>
        <w:adjustRightInd w:val="0"/>
        <w:jc w:val="center"/>
        <w:rPr>
          <w:rFonts w:cs="Times New Roman"/>
          <w:b/>
          <w:bCs/>
          <w:szCs w:val="24"/>
        </w:rPr>
      </w:pPr>
      <w:r w:rsidRPr="006A4CD7">
        <w:rPr>
          <w:rFonts w:cs="Times New Roman"/>
          <w:b/>
          <w:bCs/>
          <w:szCs w:val="24"/>
        </w:rPr>
        <w:t xml:space="preserve">Comment </w:t>
      </w:r>
    </w:p>
    <w:p w14:paraId="6E826A6E" w14:textId="77777777" w:rsidR="00C72831" w:rsidRPr="006A4CD7" w:rsidRDefault="00C72831" w:rsidP="00C72831">
      <w:pPr>
        <w:autoSpaceDE w:val="0"/>
        <w:autoSpaceDN w:val="0"/>
        <w:adjustRightInd w:val="0"/>
        <w:rPr>
          <w:rFonts w:cs="Times New Roman"/>
          <w:i/>
          <w:iCs/>
          <w:szCs w:val="24"/>
        </w:rPr>
      </w:pPr>
    </w:p>
    <w:p w14:paraId="1C39EAC2" w14:textId="401486AA"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In </w:t>
      </w:r>
      <w:r w:rsidRPr="006A4CD7">
        <w:rPr>
          <w:rFonts w:cs="Times New Roman"/>
          <w:i/>
          <w:iCs/>
          <w:szCs w:val="24"/>
        </w:rPr>
        <w:t xml:space="preserve">Blumenthal Distributing, Inc. </w:t>
      </w:r>
      <w:r>
        <w:rPr>
          <w:rFonts w:cs="Times New Roman"/>
          <w:i/>
          <w:iCs/>
          <w:szCs w:val="24"/>
        </w:rPr>
        <w:t>v</w:t>
      </w:r>
      <w:r w:rsidRPr="006A4CD7">
        <w:rPr>
          <w:rFonts w:cs="Times New Roman"/>
          <w:i/>
          <w:iCs/>
          <w:szCs w:val="24"/>
        </w:rPr>
        <w:t>. Herman Miller, Inc</w:t>
      </w:r>
      <w:r w:rsidRPr="006A4CD7">
        <w:rPr>
          <w:rFonts w:cs="Times New Roman"/>
          <w:szCs w:val="24"/>
        </w:rPr>
        <w:t>., 963 F.3d 859 (9th Cir. 2020), the Ninth Circuit rejected a portion of an earlier version of this model instruction. Accordingly, this instruction has been completely revised to reflect the holding in that case. Also, the district court should consider modifying this instruction if only utilitarian or aesthetic functionality is at issue, and not both.</w:t>
      </w:r>
    </w:p>
    <w:p w14:paraId="74EFE46C" w14:textId="77777777" w:rsidR="00C72831" w:rsidRPr="006A4CD7" w:rsidRDefault="00C72831" w:rsidP="00C72831">
      <w:pPr>
        <w:autoSpaceDE w:val="0"/>
        <w:autoSpaceDN w:val="0"/>
        <w:adjustRightInd w:val="0"/>
        <w:rPr>
          <w:rFonts w:cs="Times New Roman"/>
          <w:szCs w:val="24"/>
        </w:rPr>
      </w:pPr>
    </w:p>
    <w:p w14:paraId="321AFC2B" w14:textId="77777777"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It is reversible error to fail to give an instruction defining non-functionality in a trade dress case.  </w:t>
      </w:r>
      <w:r w:rsidRPr="006A4CD7">
        <w:rPr>
          <w:rFonts w:cs="Times New Roman"/>
          <w:i/>
          <w:iCs/>
          <w:szCs w:val="24"/>
        </w:rPr>
        <w:t>Fuddruckers, Inc. v. Doc’s B.R. Others, Inc.</w:t>
      </w:r>
      <w:r w:rsidRPr="006A4CD7">
        <w:rPr>
          <w:rFonts w:cs="Times New Roman"/>
          <w:szCs w:val="24"/>
        </w:rPr>
        <w:t xml:space="preserve">, 826 F.2d 837, 842-43 (9th Cir. 1987). </w:t>
      </w:r>
      <w:r w:rsidRPr="006A4CD7">
        <w:rPr>
          <w:rFonts w:cs="Times New Roman"/>
          <w:szCs w:val="24"/>
        </w:rPr>
        <w:lastRenderedPageBreak/>
        <w:t xml:space="preserve">Functionality is a question of fact. </w:t>
      </w:r>
      <w:r w:rsidRPr="006A4CD7">
        <w:rPr>
          <w:rFonts w:cs="Times New Roman"/>
          <w:i/>
          <w:iCs/>
          <w:szCs w:val="24"/>
        </w:rPr>
        <w:t>Vision Sports, Inc. v. Melville Corp.</w:t>
      </w:r>
      <w:r w:rsidRPr="006A4CD7">
        <w:rPr>
          <w:rFonts w:cs="Times New Roman"/>
          <w:szCs w:val="24"/>
        </w:rPr>
        <w:t>, 888 F.2d 609, 613 (9th Cir. 1989).</w:t>
      </w:r>
    </w:p>
    <w:p w14:paraId="5048DE0E" w14:textId="77777777" w:rsidR="00C72831" w:rsidRPr="006A4CD7" w:rsidRDefault="00C72831" w:rsidP="00C72831"/>
    <w:p w14:paraId="167B9029" w14:textId="05668450" w:rsidR="00C72831" w:rsidRDefault="00C72831" w:rsidP="00C72831">
      <w:pPr>
        <w:autoSpaceDE w:val="0"/>
        <w:autoSpaceDN w:val="0"/>
        <w:adjustRightInd w:val="0"/>
        <w:rPr>
          <w:rFonts w:cs="Times New Roman"/>
          <w:szCs w:val="24"/>
        </w:rPr>
      </w:pPr>
      <w:r w:rsidRPr="006A4CD7">
        <w:rPr>
          <w:rFonts w:cs="Times New Roman"/>
          <w:szCs w:val="24"/>
        </w:rPr>
        <w:tab/>
        <w:t>“The relationship between trademark protection and functionality is well established: ‘The physical details and design of a product may be protected under the trademark laws only if they are nonfunctional</w:t>
      </w:r>
      <w:r>
        <w:rPr>
          <w:rFonts w:cs="Times New Roman"/>
          <w:szCs w:val="24"/>
        </w:rPr>
        <w:t>.</w:t>
      </w:r>
      <w:r w:rsidRPr="006A4CD7">
        <w:rPr>
          <w:rFonts w:cs="Times New Roman"/>
          <w:szCs w:val="24"/>
        </w:rPr>
        <w:t xml:space="preserve">’” </w:t>
      </w:r>
      <w:r w:rsidRPr="006A4CD7">
        <w:rPr>
          <w:rFonts w:cs="Times New Roman"/>
          <w:i/>
          <w:iCs/>
          <w:szCs w:val="24"/>
        </w:rPr>
        <w:t xml:space="preserve">Tie Tech, Inc. v. </w:t>
      </w:r>
      <w:proofErr w:type="spellStart"/>
      <w:r w:rsidRPr="006A4CD7">
        <w:rPr>
          <w:rFonts w:cs="Times New Roman"/>
          <w:i/>
          <w:iCs/>
          <w:szCs w:val="24"/>
        </w:rPr>
        <w:t>Kinedyne</w:t>
      </w:r>
      <w:proofErr w:type="spellEnd"/>
      <w:r w:rsidRPr="006A4CD7">
        <w:rPr>
          <w:rFonts w:cs="Times New Roman"/>
          <w:i/>
          <w:iCs/>
          <w:szCs w:val="24"/>
        </w:rPr>
        <w:t xml:space="preserve"> Corp.</w:t>
      </w:r>
      <w:r w:rsidRPr="006A4CD7">
        <w:rPr>
          <w:rFonts w:cs="Times New Roman"/>
          <w:szCs w:val="24"/>
        </w:rPr>
        <w:t xml:space="preserve">, 296 F.3d 778, 782 (9th Cir. 2002). For a description of the four-factor test of functionality, </w:t>
      </w:r>
      <w:r w:rsidRPr="006A4CD7">
        <w:rPr>
          <w:rFonts w:cs="Times New Roman"/>
          <w:i/>
          <w:iCs/>
          <w:szCs w:val="24"/>
        </w:rPr>
        <w:t>see</w:t>
      </w:r>
      <w:r w:rsidRPr="006A4CD7">
        <w:rPr>
          <w:rFonts w:cs="Times New Roman"/>
          <w:szCs w:val="24"/>
        </w:rPr>
        <w:t xml:space="preserve"> </w:t>
      </w:r>
      <w:r w:rsidRPr="006A4CD7">
        <w:rPr>
          <w:rFonts w:cs="Times New Roman"/>
          <w:i/>
          <w:iCs/>
          <w:szCs w:val="24"/>
        </w:rPr>
        <w:t xml:space="preserve">Disc Gold </w:t>
      </w:r>
      <w:proofErr w:type="spellStart"/>
      <w:r w:rsidRPr="006A4CD7">
        <w:rPr>
          <w:rFonts w:cs="Times New Roman"/>
          <w:i/>
          <w:iCs/>
          <w:szCs w:val="24"/>
        </w:rPr>
        <w:t>Ass’n</w:t>
      </w:r>
      <w:proofErr w:type="spellEnd"/>
      <w:r w:rsidRPr="006A4CD7">
        <w:rPr>
          <w:rFonts w:cs="Times New Roman"/>
          <w:i/>
          <w:iCs/>
          <w:szCs w:val="24"/>
        </w:rPr>
        <w:t xml:space="preserve"> v. Champion Discs, Inc.</w:t>
      </w:r>
      <w:r w:rsidRPr="006A4CD7">
        <w:rPr>
          <w:rFonts w:cs="Times New Roman"/>
          <w:szCs w:val="24"/>
        </w:rPr>
        <w:t xml:space="preserve">, 158 F.3d 1002, 1006-09 (9th Cir. 1998). </w:t>
      </w:r>
      <w:r w:rsidRPr="006A4CD7">
        <w:rPr>
          <w:rFonts w:cs="Times New Roman"/>
          <w:i/>
          <w:iCs/>
          <w:szCs w:val="24"/>
        </w:rPr>
        <w:t>See also Int</w:t>
      </w:r>
      <w:r>
        <w:rPr>
          <w:rFonts w:cs="Times New Roman"/>
          <w:i/>
          <w:iCs/>
          <w:szCs w:val="24"/>
        </w:rPr>
        <w:t>’</w:t>
      </w:r>
      <w:r w:rsidRPr="006A4CD7">
        <w:rPr>
          <w:rFonts w:cs="Times New Roman"/>
          <w:i/>
          <w:iCs/>
          <w:szCs w:val="24"/>
        </w:rPr>
        <w:t xml:space="preserve">l Jensen v. </w:t>
      </w:r>
      <w:proofErr w:type="spellStart"/>
      <w:r w:rsidRPr="006A4CD7">
        <w:rPr>
          <w:rFonts w:cs="Times New Roman"/>
          <w:i/>
          <w:iCs/>
          <w:szCs w:val="24"/>
        </w:rPr>
        <w:t>Metrosound</w:t>
      </w:r>
      <w:proofErr w:type="spellEnd"/>
      <w:r w:rsidRPr="006A4CD7">
        <w:rPr>
          <w:rFonts w:cs="Times New Roman"/>
          <w:i/>
          <w:iCs/>
          <w:szCs w:val="24"/>
        </w:rPr>
        <w:t xml:space="preserve"> U.S.A.</w:t>
      </w:r>
      <w:r w:rsidRPr="006A4CD7">
        <w:rPr>
          <w:rFonts w:cs="Times New Roman"/>
          <w:szCs w:val="24"/>
        </w:rPr>
        <w:t xml:space="preserve">, 4 F.3d 819, 822-23 (9th Cir. 1993) (setting forth a three-factor test); </w:t>
      </w:r>
      <w:r w:rsidRPr="006A4CD7">
        <w:rPr>
          <w:rFonts w:cs="Times New Roman"/>
          <w:i/>
          <w:iCs/>
          <w:szCs w:val="24"/>
        </w:rPr>
        <w:t>Talking Rain Beverage Co. Inc. v. S</w:t>
      </w:r>
      <w:r>
        <w:rPr>
          <w:rFonts w:cs="Times New Roman"/>
          <w:i/>
          <w:iCs/>
          <w:szCs w:val="24"/>
        </w:rPr>
        <w:t>.</w:t>
      </w:r>
      <w:r w:rsidRPr="006A4CD7">
        <w:rPr>
          <w:rFonts w:cs="Times New Roman"/>
          <w:i/>
          <w:iCs/>
          <w:szCs w:val="24"/>
        </w:rPr>
        <w:t xml:space="preserve"> Beach Beverage Co.,</w:t>
      </w:r>
      <w:r w:rsidRPr="006A4CD7">
        <w:rPr>
          <w:rFonts w:cs="Times New Roman"/>
          <w:szCs w:val="24"/>
        </w:rPr>
        <w:t xml:space="preserve"> 349 F.3d 601, 603 (9th Cir. 2003) (applying four factor </w:t>
      </w:r>
      <w:proofErr w:type="gramStart"/>
      <w:r w:rsidRPr="006A4CD7">
        <w:rPr>
          <w:rFonts w:cs="Times New Roman"/>
          <w:szCs w:val="24"/>
        </w:rPr>
        <w:t>test</w:t>
      </w:r>
      <w:proofErr w:type="gramEnd"/>
      <w:r w:rsidRPr="006A4CD7">
        <w:rPr>
          <w:rFonts w:cs="Times New Roman"/>
          <w:szCs w:val="24"/>
        </w:rPr>
        <w:t xml:space="preserve"> from </w:t>
      </w:r>
      <w:r w:rsidRPr="006A4CD7">
        <w:rPr>
          <w:rFonts w:cs="Times New Roman"/>
          <w:i/>
          <w:iCs/>
          <w:szCs w:val="24"/>
        </w:rPr>
        <w:t>Disc Gold</w:t>
      </w:r>
      <w:r w:rsidRPr="006A4CD7">
        <w:rPr>
          <w:rFonts w:cs="Times New Roman"/>
          <w:szCs w:val="24"/>
        </w:rPr>
        <w:t xml:space="preserve">). The definition of functionality is reflected in </w:t>
      </w:r>
      <w:proofErr w:type="spellStart"/>
      <w:r w:rsidRPr="006A4CD7">
        <w:rPr>
          <w:rFonts w:cs="Times New Roman"/>
          <w:i/>
          <w:iCs/>
          <w:szCs w:val="24"/>
        </w:rPr>
        <w:t>TrafFix</w:t>
      </w:r>
      <w:proofErr w:type="spellEnd"/>
      <w:r w:rsidRPr="006A4CD7">
        <w:rPr>
          <w:rFonts w:cs="Times New Roman"/>
          <w:i/>
          <w:iCs/>
          <w:szCs w:val="24"/>
        </w:rPr>
        <w:t xml:space="preserve"> Devices, Inc. v. Mktg. Displays, Inc</w:t>
      </w:r>
      <w:r w:rsidRPr="006A4CD7">
        <w:rPr>
          <w:rFonts w:cs="Times New Roman"/>
          <w:szCs w:val="24"/>
        </w:rPr>
        <w:t xml:space="preserve">., 532 U.S. 23, 33 (2001) (referring to the “traditional rule” set forth in </w:t>
      </w:r>
      <w:r w:rsidRPr="006A4CD7">
        <w:rPr>
          <w:rFonts w:cs="Times New Roman"/>
          <w:i/>
          <w:iCs/>
          <w:szCs w:val="24"/>
        </w:rPr>
        <w:t xml:space="preserve">Inwood </w:t>
      </w:r>
      <w:proofErr w:type="spellStart"/>
      <w:r w:rsidRPr="006A4CD7">
        <w:rPr>
          <w:rFonts w:cs="Times New Roman"/>
          <w:i/>
          <w:iCs/>
          <w:szCs w:val="24"/>
        </w:rPr>
        <w:t>Lab</w:t>
      </w:r>
      <w:r>
        <w:rPr>
          <w:rFonts w:cs="Times New Roman"/>
          <w:i/>
          <w:iCs/>
          <w:szCs w:val="24"/>
        </w:rPr>
        <w:t>’y</w:t>
      </w:r>
      <w:r w:rsidRPr="006A4CD7">
        <w:rPr>
          <w:rFonts w:cs="Times New Roman"/>
          <w:i/>
          <w:iCs/>
          <w:szCs w:val="24"/>
        </w:rPr>
        <w:t>s</w:t>
      </w:r>
      <w:proofErr w:type="spellEnd"/>
      <w:r w:rsidRPr="006A4CD7">
        <w:rPr>
          <w:rFonts w:cs="Times New Roman"/>
          <w:i/>
          <w:iCs/>
          <w:szCs w:val="24"/>
        </w:rPr>
        <w:t xml:space="preserve">, Inc. v. Ives </w:t>
      </w:r>
      <w:proofErr w:type="spellStart"/>
      <w:r w:rsidRPr="006A4CD7">
        <w:rPr>
          <w:rFonts w:cs="Times New Roman"/>
          <w:i/>
          <w:iCs/>
          <w:szCs w:val="24"/>
        </w:rPr>
        <w:t>Lab</w:t>
      </w:r>
      <w:r>
        <w:rPr>
          <w:rFonts w:cs="Times New Roman"/>
          <w:i/>
          <w:iCs/>
          <w:szCs w:val="24"/>
        </w:rPr>
        <w:t>’ys</w:t>
      </w:r>
      <w:proofErr w:type="spellEnd"/>
      <w:r w:rsidRPr="006A4CD7">
        <w:rPr>
          <w:rFonts w:cs="Times New Roman"/>
          <w:i/>
          <w:iCs/>
          <w:szCs w:val="24"/>
        </w:rPr>
        <w:t>, Inc</w:t>
      </w:r>
      <w:r w:rsidRPr="006A4CD7">
        <w:rPr>
          <w:rFonts w:cs="Times New Roman"/>
          <w:szCs w:val="24"/>
        </w:rPr>
        <w:t xml:space="preserve">., 456 U.S. 844, 850 n. 10 (1982)). </w:t>
      </w:r>
    </w:p>
    <w:p w14:paraId="7A648AE5" w14:textId="77777777" w:rsidR="00375978" w:rsidRDefault="00375978" w:rsidP="00C72831">
      <w:pPr>
        <w:autoSpaceDE w:val="0"/>
        <w:autoSpaceDN w:val="0"/>
        <w:adjustRightInd w:val="0"/>
        <w:rPr>
          <w:rFonts w:cs="Times New Roman"/>
          <w:szCs w:val="24"/>
        </w:rPr>
      </w:pPr>
    </w:p>
    <w:p w14:paraId="4AA8F57D" w14:textId="4F97DAD6" w:rsidR="00375978" w:rsidRPr="006A4CD7" w:rsidRDefault="00375978" w:rsidP="00375978">
      <w:pPr>
        <w:autoSpaceDE w:val="0"/>
        <w:autoSpaceDN w:val="0"/>
        <w:adjustRightInd w:val="0"/>
        <w:ind w:firstLine="720"/>
        <w:rPr>
          <w:rFonts w:cs="Times New Roman"/>
          <w:szCs w:val="24"/>
        </w:rPr>
      </w:pPr>
      <w:r w:rsidRPr="00375978">
        <w:rPr>
          <w:rFonts w:cs="Times New Roman"/>
          <w:szCs w:val="24"/>
        </w:rPr>
        <w:t xml:space="preserve">The plaintiff asserting infringement of unregistered trade dress has the burden of proving </w:t>
      </w:r>
      <w:proofErr w:type="spellStart"/>
      <w:r w:rsidRPr="00375978">
        <w:rPr>
          <w:rFonts w:cs="Times New Roman"/>
          <w:szCs w:val="24"/>
        </w:rPr>
        <w:t>nonfunctionality</w:t>
      </w:r>
      <w:proofErr w:type="spellEnd"/>
      <w:r w:rsidRPr="00375978">
        <w:rPr>
          <w:rFonts w:cs="Times New Roman"/>
          <w:szCs w:val="24"/>
        </w:rPr>
        <w:t xml:space="preserve">. 15 U.S.C. § 1125(a)(3) (“In a civil action for trade dress infringement … for trade dress not registered on the principal register, the person who asserts trade dress protection has the burden of proving that the matter sought to be protected is not functional.”). Because registration is prima facie evidence of validity, the defendant has the burden of proving functionality when the trade dress in question is registered on the principal register. </w:t>
      </w:r>
      <w:r w:rsidRPr="00375978">
        <w:rPr>
          <w:rFonts w:cs="Times New Roman"/>
          <w:i/>
          <w:iCs/>
          <w:szCs w:val="24"/>
        </w:rPr>
        <w:t>Vuitton Et Fils S.A. v. J. Young Enterprises, Inc.</w:t>
      </w:r>
      <w:r w:rsidRPr="00375978">
        <w:rPr>
          <w:rFonts w:cs="Times New Roman"/>
          <w:szCs w:val="24"/>
        </w:rPr>
        <w:t xml:space="preserve">, 644 F.2d 769, 775 (9th Cir. 1981) (with functionality at issue, explaining that, “under the Lanham Act, registration and entry of a trademark on the Principal Register … shifts the burden of proof from the plaintiff, who would have to establish his right to exclusive use in a common law infringement action, to the defendant, who must introduce sufficient evidence to rebut the presumption of plaintiff's right to such protected use”); 15 U.S.C. § 1115(a) (providing that any registration issued under the Act “shall be prima facie evidence of registrant's exclusive right to use the registered mark in commerce”). Functionality is an issue of fact. </w:t>
      </w:r>
      <w:r w:rsidRPr="00375978">
        <w:rPr>
          <w:rFonts w:cs="Times New Roman"/>
          <w:i/>
          <w:iCs/>
          <w:szCs w:val="24"/>
        </w:rPr>
        <w:t>Vuitton Et Fils S.A.</w:t>
      </w:r>
      <w:r w:rsidRPr="00375978">
        <w:rPr>
          <w:rFonts w:cs="Times New Roman"/>
          <w:szCs w:val="24"/>
        </w:rPr>
        <w:t xml:space="preserve">, 644 F.2d at 775. </w:t>
      </w:r>
    </w:p>
    <w:p w14:paraId="1D563CE7" w14:textId="77777777" w:rsidR="00C72831" w:rsidRPr="006A4CD7" w:rsidRDefault="00C72831" w:rsidP="00C72831">
      <w:pPr>
        <w:autoSpaceDE w:val="0"/>
        <w:autoSpaceDN w:val="0"/>
        <w:adjustRightInd w:val="0"/>
        <w:rPr>
          <w:rFonts w:cs="Times New Roman"/>
          <w:szCs w:val="24"/>
        </w:rPr>
      </w:pPr>
    </w:p>
    <w:p w14:paraId="106B32C0" w14:textId="0644F2A5"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In the Ninth Circuit, the plaintiff bears the burden of proving </w:t>
      </w:r>
      <w:proofErr w:type="spellStart"/>
      <w:r w:rsidRPr="006A4CD7">
        <w:rPr>
          <w:rFonts w:cs="Times New Roman"/>
          <w:szCs w:val="24"/>
        </w:rPr>
        <w:t>nonfunctionality</w:t>
      </w:r>
      <w:proofErr w:type="spellEnd"/>
      <w:r w:rsidRPr="006A4CD7">
        <w:rPr>
          <w:rFonts w:cs="Times New Roman"/>
          <w:szCs w:val="24"/>
        </w:rPr>
        <w:t xml:space="preserve">. </w:t>
      </w:r>
      <w:r w:rsidRPr="006A4CD7">
        <w:rPr>
          <w:rFonts w:cs="Times New Roman"/>
          <w:i/>
          <w:iCs/>
          <w:szCs w:val="24"/>
        </w:rPr>
        <w:t>See Sega Enters</w:t>
      </w:r>
      <w:r>
        <w:rPr>
          <w:rFonts w:cs="Times New Roman"/>
          <w:i/>
          <w:iCs/>
          <w:szCs w:val="24"/>
        </w:rPr>
        <w:t>.</w:t>
      </w:r>
      <w:r w:rsidRPr="006A4CD7">
        <w:rPr>
          <w:rFonts w:cs="Times New Roman"/>
          <w:i/>
          <w:iCs/>
          <w:szCs w:val="24"/>
        </w:rPr>
        <w:t xml:space="preserve"> Ltd., v. Accolade, Inc.,</w:t>
      </w:r>
      <w:r w:rsidRPr="006A4CD7">
        <w:rPr>
          <w:rFonts w:cs="Times New Roman"/>
          <w:szCs w:val="24"/>
        </w:rPr>
        <w:t xml:space="preserve"> 977 F.2d 1510, 1530-31 (9th Cir. 1992) (holding that </w:t>
      </w:r>
      <w:proofErr w:type="spellStart"/>
      <w:r w:rsidRPr="006A4CD7">
        <w:rPr>
          <w:rFonts w:cs="Times New Roman"/>
          <w:szCs w:val="24"/>
        </w:rPr>
        <w:t>nonfunctionality</w:t>
      </w:r>
      <w:proofErr w:type="spellEnd"/>
      <w:r w:rsidRPr="006A4CD7">
        <w:rPr>
          <w:rFonts w:cs="Times New Roman"/>
          <w:szCs w:val="24"/>
        </w:rPr>
        <w:t xml:space="preserve"> is question of fact, which plaintiff bears burden of proving); 15 U.S.C. § 1125(a)(3) (“In a civil action for trade dress infringement</w:t>
      </w:r>
      <w:r>
        <w:rPr>
          <w:rFonts w:cs="Times New Roman"/>
          <w:szCs w:val="24"/>
        </w:rPr>
        <w:t xml:space="preserve"> </w:t>
      </w:r>
      <w:r w:rsidRPr="006A4CD7">
        <w:rPr>
          <w:rFonts w:cs="Times New Roman"/>
          <w:szCs w:val="24"/>
        </w:rPr>
        <w:t>…</w:t>
      </w:r>
      <w:r>
        <w:rPr>
          <w:rFonts w:cs="Times New Roman"/>
          <w:szCs w:val="24"/>
        </w:rPr>
        <w:t xml:space="preserve"> </w:t>
      </w:r>
      <w:r w:rsidRPr="006A4CD7">
        <w:rPr>
          <w:rFonts w:cs="Times New Roman"/>
          <w:szCs w:val="24"/>
        </w:rPr>
        <w:t>for trade dress not registered on the principal register, the person who asserts trade dress protection has the burden of proving that the matter sought to be protected is not functional.”). However, in some circuits</w:t>
      </w:r>
      <w:r>
        <w:rPr>
          <w:rFonts w:cs="Times New Roman"/>
          <w:szCs w:val="24"/>
        </w:rPr>
        <w:t>,</w:t>
      </w:r>
      <w:r w:rsidRPr="006A4CD7">
        <w:rPr>
          <w:rFonts w:cs="Times New Roman"/>
          <w:szCs w:val="24"/>
        </w:rPr>
        <w:t xml:space="preserve"> functionality is treated as an affirmative defense. </w:t>
      </w:r>
      <w:r w:rsidRPr="006A4CD7">
        <w:rPr>
          <w:rFonts w:cs="Times New Roman"/>
          <w:i/>
          <w:iCs/>
          <w:szCs w:val="24"/>
        </w:rPr>
        <w:t xml:space="preserve">See, e.g., Vaughan Mfg. Co. v. </w:t>
      </w:r>
      <w:proofErr w:type="spellStart"/>
      <w:r w:rsidRPr="006A4CD7">
        <w:rPr>
          <w:rFonts w:cs="Times New Roman"/>
          <w:i/>
          <w:iCs/>
          <w:szCs w:val="24"/>
        </w:rPr>
        <w:t>Brikam</w:t>
      </w:r>
      <w:proofErr w:type="spellEnd"/>
      <w:r w:rsidRPr="006A4CD7">
        <w:rPr>
          <w:rFonts w:cs="Times New Roman"/>
          <w:i/>
          <w:iCs/>
          <w:szCs w:val="24"/>
        </w:rPr>
        <w:t xml:space="preserve"> Int’l</w:t>
      </w:r>
      <w:r w:rsidRPr="006A4CD7">
        <w:rPr>
          <w:rFonts w:cs="Times New Roman"/>
          <w:szCs w:val="24"/>
        </w:rPr>
        <w:t>, 814 F.2d 346, 349 (7th Cir.</w:t>
      </w:r>
      <w:r>
        <w:rPr>
          <w:rFonts w:cs="Times New Roman"/>
          <w:szCs w:val="24"/>
        </w:rPr>
        <w:t xml:space="preserve"> </w:t>
      </w:r>
      <w:r w:rsidRPr="006A4CD7">
        <w:rPr>
          <w:rFonts w:cs="Times New Roman"/>
          <w:szCs w:val="24"/>
        </w:rPr>
        <w:t xml:space="preserve">1987); </w:t>
      </w:r>
      <w:r w:rsidRPr="006A4CD7">
        <w:rPr>
          <w:rFonts w:cs="Times New Roman"/>
          <w:i/>
          <w:iCs/>
          <w:szCs w:val="24"/>
        </w:rPr>
        <w:t xml:space="preserve">Stormy Clime Ltd. v. </w:t>
      </w:r>
      <w:proofErr w:type="spellStart"/>
      <w:r w:rsidRPr="006A4CD7">
        <w:rPr>
          <w:rFonts w:cs="Times New Roman"/>
          <w:i/>
          <w:iCs/>
          <w:szCs w:val="24"/>
        </w:rPr>
        <w:t>ProGroup</w:t>
      </w:r>
      <w:proofErr w:type="spellEnd"/>
      <w:r w:rsidRPr="006A4CD7">
        <w:rPr>
          <w:rFonts w:cs="Times New Roman"/>
          <w:i/>
          <w:iCs/>
          <w:szCs w:val="24"/>
        </w:rPr>
        <w:t>, Inc.</w:t>
      </w:r>
      <w:r w:rsidRPr="006A4CD7">
        <w:rPr>
          <w:rFonts w:cs="Times New Roman"/>
          <w:szCs w:val="24"/>
        </w:rPr>
        <w:t>, 809 F.2d 971, 974 (2d Cir.</w:t>
      </w:r>
      <w:r>
        <w:rPr>
          <w:rFonts w:cs="Times New Roman"/>
          <w:szCs w:val="24"/>
        </w:rPr>
        <w:t xml:space="preserve"> </w:t>
      </w:r>
      <w:r w:rsidRPr="006A4CD7">
        <w:rPr>
          <w:rFonts w:cs="Times New Roman"/>
          <w:szCs w:val="24"/>
        </w:rPr>
        <w:t>1987).</w:t>
      </w:r>
    </w:p>
    <w:p w14:paraId="7B86B881" w14:textId="77777777" w:rsidR="00C72831" w:rsidRPr="006A4CD7" w:rsidRDefault="00C72831" w:rsidP="00C72831">
      <w:pPr>
        <w:autoSpaceDE w:val="0"/>
        <w:autoSpaceDN w:val="0"/>
        <w:adjustRightInd w:val="0"/>
        <w:rPr>
          <w:rFonts w:cs="Times New Roman"/>
          <w:szCs w:val="24"/>
        </w:rPr>
      </w:pPr>
    </w:p>
    <w:p w14:paraId="7A611503" w14:textId="7CD75708" w:rsidR="00C72831" w:rsidRPr="006A4CD7" w:rsidRDefault="00C72831" w:rsidP="00C72831">
      <w:pPr>
        <w:autoSpaceDE w:val="0"/>
        <w:autoSpaceDN w:val="0"/>
        <w:adjustRightInd w:val="0"/>
        <w:rPr>
          <w:rFonts w:ascii="VEYYM C+ Times New Roman," w:hAnsi="VEYYM C+ Times New Roman," w:cs="VEYYM C+ Times New Roman,"/>
          <w:szCs w:val="24"/>
        </w:rPr>
      </w:pPr>
      <w:r w:rsidRPr="006A4CD7">
        <w:rPr>
          <w:rFonts w:ascii="VEYYM C+ Times New Roman," w:hAnsi="VEYYM C+ Times New Roman," w:cs="VEYYM C+ Times New Roman,"/>
          <w:szCs w:val="24"/>
        </w:rPr>
        <w:tab/>
      </w:r>
      <w:r w:rsidRPr="006A4CD7">
        <w:rPr>
          <w:rFonts w:cs="Times New Roman"/>
          <w:szCs w:val="24"/>
        </w:rPr>
        <w:t xml:space="preserve">“[I]f exclusive use of a feature would put competitors at a significant non-reputation-related disadvantage, the feature in general terms is functional.” </w:t>
      </w:r>
      <w:proofErr w:type="spellStart"/>
      <w:r w:rsidRPr="006A4CD7">
        <w:rPr>
          <w:rFonts w:cs="Times New Roman"/>
          <w:i/>
          <w:iCs/>
          <w:szCs w:val="24"/>
        </w:rPr>
        <w:t>Qualitex</w:t>
      </w:r>
      <w:proofErr w:type="spellEnd"/>
      <w:r w:rsidRPr="006A4CD7">
        <w:rPr>
          <w:rFonts w:cs="Times New Roman"/>
          <w:i/>
          <w:iCs/>
          <w:szCs w:val="24"/>
        </w:rPr>
        <w:t xml:space="preserve"> Co. v. Jacobson Products Co</w:t>
      </w:r>
      <w:r w:rsidRPr="006A4CD7">
        <w:rPr>
          <w:rFonts w:cs="Times New Roman"/>
          <w:szCs w:val="24"/>
        </w:rPr>
        <w:t xml:space="preserve">., 514 U.S. 159, 165 (1995). </w:t>
      </w:r>
      <w:r w:rsidRPr="006A4CD7">
        <w:rPr>
          <w:rFonts w:cs="Times New Roman"/>
          <w:i/>
          <w:iCs/>
          <w:szCs w:val="24"/>
        </w:rPr>
        <w:t xml:space="preserve">See also Inwood </w:t>
      </w:r>
      <w:proofErr w:type="spellStart"/>
      <w:r w:rsidRPr="006A4CD7">
        <w:rPr>
          <w:rFonts w:cs="Times New Roman"/>
          <w:i/>
          <w:iCs/>
          <w:szCs w:val="24"/>
        </w:rPr>
        <w:t>Lab</w:t>
      </w:r>
      <w:r>
        <w:rPr>
          <w:rFonts w:cs="Times New Roman"/>
          <w:i/>
          <w:iCs/>
          <w:szCs w:val="24"/>
        </w:rPr>
        <w:t>’ys</w:t>
      </w:r>
      <w:proofErr w:type="spellEnd"/>
      <w:r>
        <w:rPr>
          <w:rFonts w:cs="Times New Roman"/>
          <w:i/>
          <w:iCs/>
          <w:szCs w:val="24"/>
        </w:rPr>
        <w:t>, Inc.</w:t>
      </w:r>
      <w:r w:rsidRPr="006A4CD7">
        <w:rPr>
          <w:rFonts w:cs="Times New Roman"/>
          <w:i/>
          <w:iCs/>
          <w:szCs w:val="24"/>
        </w:rPr>
        <w:t>.</w:t>
      </w:r>
      <w:r w:rsidRPr="006A4CD7">
        <w:rPr>
          <w:rFonts w:cs="Times New Roman"/>
          <w:szCs w:val="24"/>
        </w:rPr>
        <w:t xml:space="preserve">, 456 U.S. </w:t>
      </w:r>
      <w:r>
        <w:rPr>
          <w:rFonts w:cs="Times New Roman"/>
          <w:szCs w:val="24"/>
        </w:rPr>
        <w:t>at</w:t>
      </w:r>
      <w:r w:rsidRPr="006A4CD7">
        <w:rPr>
          <w:rFonts w:cs="Times New Roman"/>
          <w:szCs w:val="24"/>
        </w:rPr>
        <w:t xml:space="preserve"> 850 n.10 (“In general terms, a product feature is functional if it is essential to the use or purpose of the article or if it affects the cost or quality of the article.”); </w:t>
      </w:r>
      <w:r w:rsidRPr="006A4CD7">
        <w:rPr>
          <w:rFonts w:cs="Times New Roman"/>
          <w:i/>
          <w:iCs/>
          <w:szCs w:val="24"/>
        </w:rPr>
        <w:t xml:space="preserve">Vuitton et Fils </w:t>
      </w:r>
      <w:proofErr w:type="spellStart"/>
      <w:r w:rsidRPr="006A4CD7">
        <w:rPr>
          <w:rFonts w:cs="Times New Roman"/>
          <w:i/>
          <w:iCs/>
          <w:szCs w:val="24"/>
        </w:rPr>
        <w:t>S.A.v</w:t>
      </w:r>
      <w:proofErr w:type="spellEnd"/>
      <w:r w:rsidRPr="006A4CD7">
        <w:rPr>
          <w:rFonts w:cs="Times New Roman"/>
          <w:i/>
          <w:iCs/>
          <w:szCs w:val="24"/>
        </w:rPr>
        <w:t>. J. Young Enters</w:t>
      </w:r>
      <w:r w:rsidRPr="006A4CD7">
        <w:rPr>
          <w:rFonts w:cs="Times New Roman"/>
          <w:szCs w:val="24"/>
        </w:rPr>
        <w:t xml:space="preserve">., 644 F.2d 769, 774 (9th Cir. 1981) (“Functional features of a product are features ‘which constitute the actual benefit that the consumer wishes to purchase, as distinguished from an assurance that a </w:t>
      </w:r>
      <w:r w:rsidRPr="006A4CD7">
        <w:rPr>
          <w:rFonts w:cs="Times New Roman"/>
          <w:szCs w:val="24"/>
        </w:rPr>
        <w:lastRenderedPageBreak/>
        <w:t xml:space="preserve">particular entity made, sponsored, or endorsed a product.”’) (quoting </w:t>
      </w:r>
      <w:r w:rsidRPr="006A4CD7">
        <w:rPr>
          <w:rFonts w:cs="Times New Roman"/>
          <w:i/>
          <w:iCs/>
          <w:szCs w:val="24"/>
        </w:rPr>
        <w:t>Int</w:t>
      </w:r>
      <w:r>
        <w:rPr>
          <w:rFonts w:cs="Times New Roman"/>
          <w:i/>
          <w:iCs/>
          <w:szCs w:val="24"/>
        </w:rPr>
        <w:t>’</w:t>
      </w:r>
      <w:r w:rsidRPr="006A4CD7">
        <w:rPr>
          <w:rFonts w:cs="Times New Roman"/>
          <w:i/>
          <w:iCs/>
          <w:szCs w:val="24"/>
        </w:rPr>
        <w:t>l Ord</w:t>
      </w:r>
      <w:r>
        <w:rPr>
          <w:rFonts w:cs="Times New Roman"/>
          <w:i/>
          <w:iCs/>
          <w:szCs w:val="24"/>
        </w:rPr>
        <w:t>.</w:t>
      </w:r>
      <w:r w:rsidRPr="006A4CD7">
        <w:rPr>
          <w:rFonts w:cs="Times New Roman"/>
          <w:i/>
          <w:iCs/>
          <w:szCs w:val="24"/>
        </w:rPr>
        <w:t xml:space="preserve"> of Job’s Daughters v. Lindeburg &amp; Co.</w:t>
      </w:r>
      <w:r w:rsidRPr="006A4CD7">
        <w:rPr>
          <w:rFonts w:cs="Times New Roman"/>
          <w:szCs w:val="24"/>
        </w:rPr>
        <w:t>, 633 F.2d 912, 917 (9th Cir. 1980)).</w:t>
      </w:r>
    </w:p>
    <w:p w14:paraId="79700082" w14:textId="77777777" w:rsidR="00C72831" w:rsidRPr="006A4CD7" w:rsidRDefault="00C72831" w:rsidP="00C72831">
      <w:pPr>
        <w:autoSpaceDE w:val="0"/>
        <w:autoSpaceDN w:val="0"/>
        <w:adjustRightInd w:val="0"/>
        <w:rPr>
          <w:rFonts w:cs="Times New Roman"/>
          <w:szCs w:val="24"/>
        </w:rPr>
      </w:pPr>
    </w:p>
    <w:p w14:paraId="58D07522" w14:textId="5A46A99E" w:rsidR="00C72831" w:rsidRPr="006A4CD7" w:rsidRDefault="00C72831" w:rsidP="00C72831">
      <w:pPr>
        <w:autoSpaceDE w:val="0"/>
        <w:autoSpaceDN w:val="0"/>
        <w:adjustRightInd w:val="0"/>
        <w:rPr>
          <w:rFonts w:cs="Times New Roman"/>
          <w:szCs w:val="24"/>
        </w:rPr>
      </w:pPr>
      <w:r w:rsidRPr="006A4CD7">
        <w:rPr>
          <w:rFonts w:cs="Times New Roman"/>
          <w:szCs w:val="24"/>
        </w:rPr>
        <w:tab/>
        <w:t>Functionality usually arises in cases of non-word symbols or devices, such as designs or container shapes. In the Ninth Circuit, functionality involves measuring the effect of a design or physical detail in the marketplace. A functional design has aesthetic appeal, or increases the utility or practicality of the product, or saves the consumer or producer time or money.</w:t>
      </w:r>
      <w:r w:rsidRPr="006A4CD7">
        <w:rPr>
          <w:rFonts w:cs="Times New Roman"/>
          <w:i/>
          <w:iCs/>
          <w:szCs w:val="24"/>
        </w:rPr>
        <w:t xml:space="preserve"> See </w:t>
      </w:r>
      <w:proofErr w:type="spellStart"/>
      <w:r w:rsidRPr="006A4CD7">
        <w:rPr>
          <w:rFonts w:cs="Times New Roman"/>
          <w:i/>
          <w:iCs/>
          <w:szCs w:val="24"/>
        </w:rPr>
        <w:t>Fabrica</w:t>
      </w:r>
      <w:proofErr w:type="spellEnd"/>
      <w:r w:rsidRPr="006A4CD7">
        <w:rPr>
          <w:rFonts w:cs="Times New Roman"/>
          <w:i/>
          <w:iCs/>
          <w:szCs w:val="24"/>
        </w:rPr>
        <w:t>, Inc. v. El Dorado Corp.</w:t>
      </w:r>
      <w:r w:rsidRPr="006A4CD7">
        <w:rPr>
          <w:rFonts w:cs="Times New Roman"/>
          <w:szCs w:val="24"/>
        </w:rPr>
        <w:t>, 697 F.2d 890 (9th Cir. 1983);</w:t>
      </w:r>
      <w:r w:rsidRPr="006A4CD7">
        <w:rPr>
          <w:rFonts w:cs="Times New Roman"/>
          <w:i/>
          <w:iCs/>
          <w:szCs w:val="24"/>
        </w:rPr>
        <w:t xml:space="preserve"> </w:t>
      </w:r>
      <w:proofErr w:type="spellStart"/>
      <w:r w:rsidRPr="006A4CD7">
        <w:rPr>
          <w:rFonts w:cs="Times New Roman"/>
          <w:i/>
          <w:iCs/>
          <w:szCs w:val="24"/>
        </w:rPr>
        <w:t>Traf</w:t>
      </w:r>
      <w:r>
        <w:rPr>
          <w:rFonts w:cs="Times New Roman"/>
          <w:i/>
          <w:iCs/>
          <w:szCs w:val="24"/>
        </w:rPr>
        <w:t>F</w:t>
      </w:r>
      <w:r w:rsidRPr="006A4CD7">
        <w:rPr>
          <w:rFonts w:cs="Times New Roman"/>
          <w:i/>
          <w:iCs/>
          <w:szCs w:val="24"/>
        </w:rPr>
        <w:t>ix</w:t>
      </w:r>
      <w:proofErr w:type="spellEnd"/>
      <w:r w:rsidRPr="006A4CD7">
        <w:rPr>
          <w:rFonts w:cs="Times New Roman"/>
          <w:i/>
          <w:iCs/>
          <w:szCs w:val="24"/>
        </w:rPr>
        <w:t xml:space="preserve"> Devices, Inc.</w:t>
      </w:r>
      <w:r>
        <w:rPr>
          <w:rFonts w:cs="Times New Roman"/>
          <w:i/>
          <w:iCs/>
          <w:szCs w:val="24"/>
        </w:rPr>
        <w:t xml:space="preserve">, </w:t>
      </w:r>
      <w:r w:rsidRPr="006A4CD7">
        <w:rPr>
          <w:rFonts w:cs="Times New Roman"/>
          <w:szCs w:val="24"/>
        </w:rPr>
        <w:t xml:space="preserve">532 U.S. </w:t>
      </w:r>
      <w:r>
        <w:rPr>
          <w:rFonts w:cs="Times New Roman"/>
          <w:szCs w:val="24"/>
        </w:rPr>
        <w:t>at</w:t>
      </w:r>
      <w:r w:rsidRPr="006A4CD7">
        <w:rPr>
          <w:rFonts w:cs="Times New Roman"/>
          <w:szCs w:val="24"/>
        </w:rPr>
        <w:t xml:space="preserve"> 29</w:t>
      </w:r>
      <w:r>
        <w:rPr>
          <w:rFonts w:cs="Times New Roman"/>
          <w:szCs w:val="24"/>
        </w:rPr>
        <w:t>-</w:t>
      </w:r>
      <w:r w:rsidRPr="006A4CD7">
        <w:rPr>
          <w:rFonts w:cs="Times New Roman"/>
          <w:szCs w:val="24"/>
        </w:rPr>
        <w:t xml:space="preserve">30 (noting that it is a “well-established rule that trade dress protection may not be claimed for product features that are functional” and that a prior patent for features claimed as trade dress can be “strong evidence” of functionality which adds “great weight to the statutory presumption” that trade dress features “are deemed functional until proved otherwise by the party seeking trade dress protection” and who will carry a “heavy burden” of showing that the feature “is merely an ornamental, incidental, or arbitrary aspect” of the trade dress rather than functional to the trade dress). </w:t>
      </w:r>
    </w:p>
    <w:p w14:paraId="502A8792" w14:textId="77777777" w:rsidR="00C72831" w:rsidRPr="006A4CD7" w:rsidRDefault="00C72831" w:rsidP="00C72831">
      <w:pPr>
        <w:autoSpaceDE w:val="0"/>
        <w:autoSpaceDN w:val="0"/>
        <w:adjustRightInd w:val="0"/>
        <w:rPr>
          <w:rFonts w:cs="Times New Roman"/>
          <w:szCs w:val="24"/>
        </w:rPr>
      </w:pPr>
    </w:p>
    <w:p w14:paraId="0A9FCD4D" w14:textId="7892644B"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If features of claimed trade dress are all functional, plaintiff must show that the features are combined in a nonfunctional way to avoid finding of functionality. </w:t>
      </w:r>
      <w:r w:rsidRPr="006A4CD7">
        <w:rPr>
          <w:rFonts w:cs="Times New Roman"/>
          <w:i/>
          <w:iCs/>
          <w:szCs w:val="24"/>
        </w:rPr>
        <w:t xml:space="preserve">HWE, Inc. v. JB </w:t>
      </w:r>
      <w:proofErr w:type="spellStart"/>
      <w:r w:rsidRPr="006A4CD7">
        <w:rPr>
          <w:rFonts w:cs="Times New Roman"/>
          <w:i/>
          <w:iCs/>
          <w:szCs w:val="24"/>
        </w:rPr>
        <w:t>Rsch</w:t>
      </w:r>
      <w:proofErr w:type="spellEnd"/>
      <w:r>
        <w:rPr>
          <w:rFonts w:cs="Times New Roman"/>
          <w:i/>
          <w:iCs/>
          <w:szCs w:val="24"/>
        </w:rPr>
        <w:t>.</w:t>
      </w:r>
      <w:r w:rsidRPr="006A4CD7">
        <w:rPr>
          <w:rFonts w:cs="Times New Roman"/>
          <w:i/>
          <w:iCs/>
          <w:szCs w:val="24"/>
        </w:rPr>
        <w:t>, Inc.</w:t>
      </w:r>
      <w:r w:rsidRPr="006A4CD7">
        <w:rPr>
          <w:rFonts w:cs="Times New Roman"/>
          <w:szCs w:val="24"/>
        </w:rPr>
        <w:t xml:space="preserve">, 993 F.2d 694, 696 (9th Cir. 1993). </w:t>
      </w:r>
    </w:p>
    <w:p w14:paraId="2F93AD9C" w14:textId="77777777" w:rsidR="00C72831" w:rsidRPr="006A4CD7" w:rsidRDefault="00C72831" w:rsidP="00C72831">
      <w:pPr>
        <w:autoSpaceDE w:val="0"/>
        <w:autoSpaceDN w:val="0"/>
        <w:adjustRightInd w:val="0"/>
        <w:rPr>
          <w:rFonts w:cs="Times New Roman"/>
          <w:szCs w:val="24"/>
        </w:rPr>
      </w:pPr>
    </w:p>
    <w:p w14:paraId="4F77FAB6" w14:textId="5961AE92" w:rsidR="00C72831" w:rsidRPr="006A4CD7" w:rsidRDefault="00C72831" w:rsidP="00C72831">
      <w:pPr>
        <w:autoSpaceDE w:val="0"/>
        <w:autoSpaceDN w:val="0"/>
        <w:adjustRightInd w:val="0"/>
        <w:rPr>
          <w:rFonts w:cs="Times New Roman"/>
          <w:szCs w:val="24"/>
        </w:rPr>
      </w:pPr>
      <w:r w:rsidRPr="006A4CD7">
        <w:rPr>
          <w:rFonts w:cs="Times New Roman"/>
          <w:szCs w:val="24"/>
        </w:rPr>
        <w:tab/>
        <w:t xml:space="preserve">On the trademark registration of trade dress and its implications for infringement litigation, </w:t>
      </w:r>
      <w:r w:rsidRPr="006A4CD7">
        <w:rPr>
          <w:rFonts w:cs="Times New Roman"/>
          <w:i/>
          <w:iCs/>
          <w:szCs w:val="24"/>
        </w:rPr>
        <w:t>see</w:t>
      </w:r>
      <w:r w:rsidRPr="006A4CD7">
        <w:rPr>
          <w:rFonts w:cs="Times New Roman"/>
          <w:szCs w:val="24"/>
        </w:rPr>
        <w:t xml:space="preserve"> </w:t>
      </w:r>
      <w:r w:rsidRPr="006A4CD7">
        <w:rPr>
          <w:rFonts w:cs="Times New Roman"/>
          <w:i/>
          <w:iCs/>
          <w:szCs w:val="24"/>
        </w:rPr>
        <w:t>Tie Tech, Inc.</w:t>
      </w:r>
      <w:r w:rsidRPr="006A4CD7">
        <w:rPr>
          <w:rFonts w:cs="Times New Roman"/>
          <w:szCs w:val="24"/>
        </w:rPr>
        <w:t xml:space="preserve">, 296 F.3d </w:t>
      </w:r>
      <w:r>
        <w:rPr>
          <w:rFonts w:cs="Times New Roman"/>
          <w:szCs w:val="24"/>
        </w:rPr>
        <w:t>at</w:t>
      </w:r>
      <w:r w:rsidRPr="006A4CD7">
        <w:rPr>
          <w:rFonts w:cs="Times New Roman"/>
          <w:szCs w:val="24"/>
        </w:rPr>
        <w:t xml:space="preserve"> 782-83. </w:t>
      </w:r>
    </w:p>
    <w:p w14:paraId="48D9E511" w14:textId="77777777" w:rsidR="00C72831" w:rsidRPr="006A4CD7" w:rsidRDefault="00C72831" w:rsidP="00C72831">
      <w:pPr>
        <w:autoSpaceDE w:val="0"/>
        <w:autoSpaceDN w:val="0"/>
        <w:adjustRightInd w:val="0"/>
        <w:rPr>
          <w:rFonts w:cs="Times New Roman"/>
          <w:szCs w:val="24"/>
        </w:rPr>
      </w:pPr>
    </w:p>
    <w:p w14:paraId="6A35ABEB" w14:textId="77777777" w:rsidR="00C72831" w:rsidRPr="006A4CD7" w:rsidRDefault="00C72831" w:rsidP="00C72831">
      <w:pPr>
        <w:autoSpaceDE w:val="0"/>
        <w:autoSpaceDN w:val="0"/>
        <w:adjustRightInd w:val="0"/>
        <w:rPr>
          <w:rFonts w:cs="Times New Roman"/>
          <w:szCs w:val="24"/>
        </w:rPr>
      </w:pPr>
    </w:p>
    <w:p w14:paraId="76FEADE5" w14:textId="0FB32E25" w:rsidR="00C30C2C" w:rsidRDefault="00C72831" w:rsidP="00B8345A">
      <w:pPr>
        <w:autoSpaceDE w:val="0"/>
        <w:autoSpaceDN w:val="0"/>
        <w:adjustRightInd w:val="0"/>
        <w:jc w:val="right"/>
      </w:pPr>
      <w:r w:rsidRPr="006A4CD7">
        <w:rPr>
          <w:rFonts w:cs="Times New Roman"/>
          <w:i/>
          <w:iCs/>
          <w:szCs w:val="24"/>
        </w:rPr>
        <w:t xml:space="preserve">Revised </w:t>
      </w:r>
      <w:r w:rsidR="00375978">
        <w:rPr>
          <w:rFonts w:cs="Times New Roman"/>
          <w:i/>
          <w:iCs/>
          <w:szCs w:val="24"/>
        </w:rPr>
        <w:t xml:space="preserve">November </w:t>
      </w:r>
      <w:r>
        <w:rPr>
          <w:rFonts w:cs="Times New Roman"/>
          <w:i/>
          <w:iCs/>
          <w:szCs w:val="24"/>
        </w:rPr>
        <w:t>2024</w:t>
      </w:r>
    </w:p>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831"/>
    <w:rsid w:val="00235FFF"/>
    <w:rsid w:val="00375978"/>
    <w:rsid w:val="00695F6A"/>
    <w:rsid w:val="006E771A"/>
    <w:rsid w:val="00B8345A"/>
    <w:rsid w:val="00B951E2"/>
    <w:rsid w:val="00BC67C9"/>
    <w:rsid w:val="00C30C2C"/>
    <w:rsid w:val="00C72831"/>
    <w:rsid w:val="00DB7C92"/>
    <w:rsid w:val="00E321D6"/>
    <w:rsid w:val="00EB3BF7"/>
    <w:rsid w:val="00F2425A"/>
    <w:rsid w:val="00FF7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16C5B"/>
  <w15:chartTrackingRefBased/>
  <w15:docId w15:val="{BD9155CA-5E6F-4B81-9E94-0C41E622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831"/>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C72831"/>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C72831"/>
    <w:rPr>
      <w:b/>
      <w:bCs/>
      <w:kern w:val="0"/>
      <w:sz w:val="24"/>
      <w:szCs w:val="24"/>
      <w14:ligatures w14:val="none"/>
    </w:rPr>
  </w:style>
  <w:style w:type="paragraph" w:styleId="Revision">
    <w:name w:val="Revision"/>
    <w:hidden/>
    <w:uiPriority w:val="99"/>
    <w:semiHidden/>
    <w:rsid w:val="00C72831"/>
    <w:rPr>
      <w:rFonts w:cstheme="minorBidi"/>
      <w:kern w:val="0"/>
      <w:sz w:val="24"/>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2024-05-21T03:51:00Z</dcterms:created>
  <dcterms:modified xsi:type="dcterms:W3CDTF">2025-01-07T22:46:00Z</dcterms:modified>
</cp:coreProperties>
</file>