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481BE" w14:textId="6C23068A" w:rsidR="006A4CD7" w:rsidRPr="006A4CD7" w:rsidRDefault="006A4CD7" w:rsidP="00EA4DDD">
      <w:pPr>
        <w:pStyle w:val="Heading2"/>
      </w:pPr>
      <w:bookmarkStart w:id="0" w:name="_Toc149646540"/>
      <w:r w:rsidRPr="006A4CD7">
        <w:t xml:space="preserve">15.13 </w:t>
      </w:r>
      <w:r w:rsidR="002D3E69" w:rsidRPr="002D3E69">
        <w:t>Infringement—Elements—Ownership—Generally</w:t>
      </w:r>
      <w:bookmarkEnd w:id="0"/>
    </w:p>
    <w:p w14:paraId="39524A2A" w14:textId="77777777" w:rsidR="006A4CD7" w:rsidRPr="006A4CD7" w:rsidRDefault="006A4CD7" w:rsidP="0060759C">
      <w:pPr>
        <w:autoSpaceDE w:val="0"/>
        <w:autoSpaceDN w:val="0"/>
        <w:adjustRightInd w:val="0"/>
        <w:jc w:val="right"/>
        <w:rPr>
          <w:rFonts w:cs="Times New Roman"/>
          <w:szCs w:val="24"/>
        </w:rPr>
      </w:pPr>
    </w:p>
    <w:p w14:paraId="0968630A" w14:textId="49E7FFE9" w:rsidR="001279D1" w:rsidRPr="001279D1" w:rsidRDefault="006A4CD7" w:rsidP="001279D1">
      <w:pPr>
        <w:autoSpaceDE w:val="0"/>
        <w:autoSpaceDN w:val="0"/>
        <w:adjustRightInd w:val="0"/>
        <w:rPr>
          <w:rFonts w:cs="Times New Roman"/>
          <w:szCs w:val="24"/>
        </w:rPr>
      </w:pPr>
      <w:r w:rsidRPr="006A4CD7">
        <w:rPr>
          <w:rFonts w:cs="Times New Roman"/>
          <w:szCs w:val="24"/>
        </w:rPr>
        <w:tab/>
      </w:r>
      <w:r w:rsidR="001279D1" w:rsidRPr="001279D1">
        <w:rPr>
          <w:rFonts w:cs="Times New Roman"/>
          <w:szCs w:val="24"/>
        </w:rPr>
        <w:t xml:space="preserve">The law entitles the trademark owner to exclude others from using that trademark. A person acquires the right to exclude others from using a trademark by </w:t>
      </w:r>
      <w:r w:rsidR="00486255">
        <w:rPr>
          <w:rFonts w:cs="Times New Roman"/>
          <w:szCs w:val="24"/>
        </w:rPr>
        <w:t xml:space="preserve">lawfully using it </w:t>
      </w:r>
      <w:r w:rsidR="001279D1" w:rsidRPr="001279D1">
        <w:rPr>
          <w:rFonts w:cs="Times New Roman"/>
          <w:szCs w:val="24"/>
        </w:rPr>
        <w:t>first in the marketplace or by lawfully using it before the alleged infringer. [A person also acquires the right to exclude others from using a trademark if industry or public usage creates, for a majority of [relevant] consumers, an association between the person and the mark prior to the alleged infringer’s use.]</w:t>
      </w:r>
    </w:p>
    <w:p w14:paraId="04AC1C53" w14:textId="77777777" w:rsidR="001279D1" w:rsidRPr="001279D1" w:rsidRDefault="001279D1" w:rsidP="001279D1">
      <w:pPr>
        <w:autoSpaceDE w:val="0"/>
        <w:autoSpaceDN w:val="0"/>
        <w:adjustRightInd w:val="0"/>
        <w:rPr>
          <w:rFonts w:cs="Times New Roman"/>
          <w:szCs w:val="24"/>
        </w:rPr>
      </w:pPr>
    </w:p>
    <w:p w14:paraId="59C75DA3" w14:textId="1F91CD87" w:rsidR="001279D1" w:rsidRPr="001279D1" w:rsidRDefault="001279D1" w:rsidP="001279D1">
      <w:pPr>
        <w:autoSpaceDE w:val="0"/>
        <w:autoSpaceDN w:val="0"/>
        <w:adjustRightInd w:val="0"/>
        <w:rPr>
          <w:rFonts w:cs="Times New Roman"/>
          <w:szCs w:val="24"/>
        </w:rPr>
      </w:pPr>
      <w:r w:rsidRPr="001279D1">
        <w:rPr>
          <w:rFonts w:cs="Times New Roman"/>
          <w:szCs w:val="24"/>
        </w:rPr>
        <w:tab/>
        <w:t>[If you find the plaintiff’s [</w:t>
      </w:r>
      <w:r w:rsidRPr="001279D1">
        <w:rPr>
          <w:rFonts w:cs="Times New Roman"/>
          <w:i/>
          <w:iCs/>
          <w:szCs w:val="24"/>
          <w:u w:val="single"/>
        </w:rPr>
        <w:t>describe trademark</w:t>
      </w:r>
      <w:r w:rsidRPr="001279D1">
        <w:rPr>
          <w:rFonts w:cs="Times New Roman"/>
          <w:szCs w:val="24"/>
        </w:rPr>
        <w:t>] to be valid [that is, inherently distinctive] you must consider whether the plaintiff used the [</w:t>
      </w:r>
      <w:r w:rsidRPr="001279D1">
        <w:rPr>
          <w:rFonts w:cs="Times New Roman"/>
          <w:i/>
          <w:iCs/>
          <w:szCs w:val="24"/>
          <w:u w:val="single"/>
        </w:rPr>
        <w:t>describe trademark</w:t>
      </w:r>
      <w:r w:rsidRPr="001279D1">
        <w:rPr>
          <w:rFonts w:cs="Times New Roman"/>
          <w:szCs w:val="24"/>
        </w:rPr>
        <w:t>] as a trademark for plaintiff’s [</w:t>
      </w:r>
      <w:r w:rsidRPr="001279D1">
        <w:rPr>
          <w:rFonts w:cs="Times New Roman"/>
          <w:i/>
          <w:iCs/>
          <w:szCs w:val="24"/>
          <w:u w:val="single"/>
        </w:rPr>
        <w:t>identify the plaintiff’s product</w:t>
      </w:r>
      <w:r w:rsidRPr="001279D1">
        <w:rPr>
          <w:rFonts w:cs="Times New Roman"/>
          <w:szCs w:val="24"/>
        </w:rPr>
        <w:t>] before the defendant began to use the [</w:t>
      </w:r>
      <w:r w:rsidRPr="001279D1">
        <w:rPr>
          <w:rFonts w:cs="Times New Roman"/>
          <w:i/>
          <w:iCs/>
          <w:szCs w:val="24"/>
          <w:u w:val="single"/>
        </w:rPr>
        <w:t>describe trademark</w:t>
      </w:r>
      <w:r w:rsidRPr="001279D1">
        <w:rPr>
          <w:rFonts w:cs="Times New Roman"/>
          <w:szCs w:val="24"/>
        </w:rPr>
        <w:t>] to market its [</w:t>
      </w:r>
      <w:r w:rsidRPr="001279D1">
        <w:rPr>
          <w:rFonts w:cs="Times New Roman"/>
          <w:i/>
          <w:iCs/>
          <w:szCs w:val="24"/>
          <w:u w:val="single"/>
        </w:rPr>
        <w:t>identify the defendant’s product</w:t>
      </w:r>
      <w:r w:rsidRPr="001279D1">
        <w:rPr>
          <w:rFonts w:cs="Times New Roman"/>
          <w:szCs w:val="24"/>
        </w:rPr>
        <w:t>] in the area where the plaintiff sells its [</w:t>
      </w:r>
      <w:r w:rsidRPr="001279D1">
        <w:rPr>
          <w:rFonts w:cs="Times New Roman"/>
          <w:i/>
          <w:iCs/>
          <w:szCs w:val="24"/>
          <w:u w:val="single"/>
        </w:rPr>
        <w:t>identify the plaintiff’s product</w:t>
      </w:r>
      <w:r w:rsidRPr="001279D1">
        <w:rPr>
          <w:rFonts w:cs="Times New Roman"/>
          <w:szCs w:val="24"/>
        </w:rPr>
        <w:t xml:space="preserve">].] </w:t>
      </w:r>
    </w:p>
    <w:p w14:paraId="50602CFA" w14:textId="77777777" w:rsidR="001279D1" w:rsidRPr="001279D1" w:rsidRDefault="001279D1" w:rsidP="001279D1">
      <w:pPr>
        <w:autoSpaceDE w:val="0"/>
        <w:autoSpaceDN w:val="0"/>
        <w:adjustRightInd w:val="0"/>
        <w:rPr>
          <w:rFonts w:cs="Times New Roman"/>
          <w:szCs w:val="24"/>
        </w:rPr>
      </w:pPr>
    </w:p>
    <w:p w14:paraId="14AA48D7" w14:textId="77777777" w:rsidR="001279D1" w:rsidRPr="001279D1" w:rsidRDefault="001279D1" w:rsidP="001279D1">
      <w:pPr>
        <w:autoSpaceDE w:val="0"/>
        <w:autoSpaceDN w:val="0"/>
        <w:adjustRightInd w:val="0"/>
        <w:rPr>
          <w:rFonts w:cs="Times New Roman"/>
          <w:szCs w:val="24"/>
        </w:rPr>
      </w:pPr>
      <w:r w:rsidRPr="001279D1">
        <w:rPr>
          <w:rFonts w:cs="Times New Roman"/>
          <w:szCs w:val="24"/>
        </w:rPr>
        <w:tab/>
        <w:t xml:space="preserve">[A trademark is “used” for purposes of this instruction when it is transported or sold in commerce and the trademark is attached to the </w:t>
      </w:r>
      <w:proofErr w:type="gramStart"/>
      <w:r w:rsidRPr="001279D1">
        <w:rPr>
          <w:rFonts w:cs="Times New Roman"/>
          <w:szCs w:val="24"/>
        </w:rPr>
        <w:t>product, or</w:t>
      </w:r>
      <w:proofErr w:type="gramEnd"/>
      <w:r w:rsidRPr="001279D1">
        <w:rPr>
          <w:rFonts w:cs="Times New Roman"/>
          <w:szCs w:val="24"/>
        </w:rPr>
        <w:t xml:space="preserve"> placed on its label or container [or if that is not practical, placed on documents associated with the goods or their sale].] </w:t>
      </w:r>
    </w:p>
    <w:p w14:paraId="63B927A9" w14:textId="77777777" w:rsidR="001279D1" w:rsidRPr="001279D1" w:rsidRDefault="001279D1" w:rsidP="001279D1">
      <w:pPr>
        <w:autoSpaceDE w:val="0"/>
        <w:autoSpaceDN w:val="0"/>
        <w:adjustRightInd w:val="0"/>
        <w:rPr>
          <w:rFonts w:cs="Times New Roman"/>
          <w:szCs w:val="24"/>
        </w:rPr>
      </w:pPr>
    </w:p>
    <w:p w14:paraId="51336A24" w14:textId="03D7CE9A" w:rsidR="001279D1" w:rsidRPr="001279D1" w:rsidRDefault="001279D1" w:rsidP="001279D1">
      <w:pPr>
        <w:autoSpaceDE w:val="0"/>
        <w:autoSpaceDN w:val="0"/>
        <w:adjustRightInd w:val="0"/>
        <w:rPr>
          <w:rFonts w:cs="Times New Roman"/>
          <w:szCs w:val="24"/>
        </w:rPr>
      </w:pPr>
      <w:r w:rsidRPr="001279D1">
        <w:rPr>
          <w:rFonts w:cs="Times New Roman"/>
          <w:szCs w:val="24"/>
        </w:rPr>
        <w:tab/>
        <w:t>[If the plaintiff has not shown by a preponderance of the evidence that the plaintiff used [</w:t>
      </w:r>
      <w:r w:rsidRPr="001279D1">
        <w:rPr>
          <w:rFonts w:cs="Times New Roman"/>
          <w:i/>
          <w:iCs/>
          <w:szCs w:val="24"/>
          <w:u w:val="single"/>
        </w:rPr>
        <w:t>describe trademark</w:t>
      </w:r>
      <w:r w:rsidRPr="001279D1">
        <w:rPr>
          <w:rFonts w:cs="Times New Roman"/>
          <w:szCs w:val="24"/>
        </w:rPr>
        <w:t>] before the defendant, then you cannot conclude that the plaintiff is the owner of the trademark [for purposes of Instruction [</w:t>
      </w:r>
      <w:r w:rsidRPr="001279D1">
        <w:rPr>
          <w:rFonts w:cs="Times New Roman"/>
          <w:i/>
          <w:iCs/>
          <w:szCs w:val="24"/>
          <w:u w:val="single"/>
        </w:rPr>
        <w:t xml:space="preserve">insert number of </w:t>
      </w:r>
      <w:proofErr w:type="gramStart"/>
      <w:r w:rsidRPr="001279D1">
        <w:rPr>
          <w:rFonts w:cs="Times New Roman"/>
          <w:i/>
          <w:iCs/>
          <w:szCs w:val="24"/>
          <w:u w:val="single"/>
        </w:rPr>
        <w:t>instruction</w:t>
      </w:r>
      <w:proofErr w:type="gramEnd"/>
      <w:r w:rsidRPr="001279D1">
        <w:rPr>
          <w:rFonts w:cs="Times New Roman"/>
          <w:i/>
          <w:iCs/>
          <w:szCs w:val="24"/>
          <w:u w:val="single"/>
        </w:rPr>
        <w:t xml:space="preserve"> regarding Infringement—Elements—Presumed Validity and Ownership—Registered Marks, e.g., 15.8</w:t>
      </w:r>
      <w:r w:rsidRPr="001279D1">
        <w:rPr>
          <w:rFonts w:cs="Times New Roman"/>
          <w:szCs w:val="24"/>
        </w:rPr>
        <w:t xml:space="preserve">].] </w:t>
      </w:r>
    </w:p>
    <w:p w14:paraId="3C7BC88F" w14:textId="77777777" w:rsidR="001279D1" w:rsidRPr="001279D1" w:rsidRDefault="001279D1" w:rsidP="001279D1">
      <w:pPr>
        <w:autoSpaceDE w:val="0"/>
        <w:autoSpaceDN w:val="0"/>
        <w:adjustRightInd w:val="0"/>
        <w:jc w:val="center"/>
        <w:rPr>
          <w:rFonts w:cs="Times New Roman"/>
          <w:b/>
          <w:bCs/>
          <w:szCs w:val="24"/>
        </w:rPr>
      </w:pPr>
    </w:p>
    <w:p w14:paraId="73C9FBD9" w14:textId="77777777" w:rsidR="001279D1" w:rsidRPr="001279D1" w:rsidRDefault="001279D1" w:rsidP="001279D1">
      <w:pPr>
        <w:autoSpaceDE w:val="0"/>
        <w:autoSpaceDN w:val="0"/>
        <w:adjustRightInd w:val="0"/>
        <w:jc w:val="center"/>
        <w:rPr>
          <w:rFonts w:cs="Times New Roman"/>
          <w:b/>
          <w:bCs/>
          <w:szCs w:val="24"/>
        </w:rPr>
      </w:pPr>
      <w:r w:rsidRPr="001279D1">
        <w:rPr>
          <w:rFonts w:cs="Times New Roman"/>
          <w:b/>
          <w:bCs/>
          <w:szCs w:val="24"/>
        </w:rPr>
        <w:t xml:space="preserve">Comment </w:t>
      </w:r>
    </w:p>
    <w:p w14:paraId="26CFB53C" w14:textId="77777777" w:rsidR="001279D1" w:rsidRPr="001279D1" w:rsidRDefault="001279D1" w:rsidP="001279D1">
      <w:pPr>
        <w:autoSpaceDE w:val="0"/>
        <w:autoSpaceDN w:val="0"/>
        <w:adjustRightInd w:val="0"/>
        <w:rPr>
          <w:rFonts w:cs="Times New Roman"/>
          <w:szCs w:val="24"/>
        </w:rPr>
      </w:pPr>
      <w:r w:rsidRPr="001279D1">
        <w:rPr>
          <w:rFonts w:cs="Times New Roman"/>
          <w:szCs w:val="24"/>
        </w:rPr>
        <w:tab/>
      </w:r>
    </w:p>
    <w:p w14:paraId="289F5949" w14:textId="157DF9AA" w:rsidR="003A6B46" w:rsidRDefault="001279D1" w:rsidP="003A6B46">
      <w:pPr>
        <w:autoSpaceDE w:val="0"/>
        <w:autoSpaceDN w:val="0"/>
        <w:adjustRightInd w:val="0"/>
        <w:rPr>
          <w:rFonts w:cs="Times New Roman"/>
          <w:szCs w:val="24"/>
        </w:rPr>
      </w:pPr>
      <w:r w:rsidRPr="001279D1">
        <w:rPr>
          <w:rFonts w:cs="Times New Roman"/>
          <w:szCs w:val="24"/>
        </w:rPr>
        <w:tab/>
      </w:r>
      <w:r w:rsidR="003A6B46" w:rsidRPr="001279D1">
        <w:rPr>
          <w:rFonts w:cs="Times New Roman"/>
          <w:szCs w:val="24"/>
        </w:rPr>
        <w:t xml:space="preserve">This instruction is for use in a case involving an inherently distinctive mark. It reflects the traditional concept that trademark rights belong to the party who first makes an actual use of the trademark in business. </w:t>
      </w:r>
      <w:r w:rsidR="003A6B46" w:rsidRPr="001279D1">
        <w:rPr>
          <w:rFonts w:cs="Times New Roman"/>
          <w:i/>
          <w:iCs/>
          <w:szCs w:val="24"/>
        </w:rPr>
        <w:t xml:space="preserve">See </w:t>
      </w:r>
      <w:proofErr w:type="spellStart"/>
      <w:r w:rsidR="003A6B46" w:rsidRPr="001279D1">
        <w:rPr>
          <w:rFonts w:cs="Times New Roman"/>
          <w:i/>
          <w:iCs/>
          <w:szCs w:val="24"/>
        </w:rPr>
        <w:t>Rolley</w:t>
      </w:r>
      <w:proofErr w:type="spellEnd"/>
      <w:r w:rsidR="003A6B46" w:rsidRPr="001279D1">
        <w:rPr>
          <w:rFonts w:cs="Times New Roman"/>
          <w:i/>
          <w:iCs/>
          <w:szCs w:val="24"/>
        </w:rPr>
        <w:t xml:space="preserve"> v. Younghusband</w:t>
      </w:r>
      <w:r w:rsidR="003A6B46" w:rsidRPr="001279D1">
        <w:rPr>
          <w:rFonts w:cs="Times New Roman"/>
          <w:szCs w:val="24"/>
        </w:rPr>
        <w:t xml:space="preserve">, 204 F.2d 209 (9th Cir. 1953). However, if the trademark at issue is not inherently distinctive (but its validity was shown by proof of it acquiring secondary meaning), this instruction is not appropriate. In such a case, priority is established by the party who first uses the mark with secondary meaning. Accordingly, the plaintiff must prove the existence of secondary meaning in its trademark at the time and place that the junior user first began use of that mark. </w:t>
      </w:r>
      <w:r w:rsidR="003A6B46" w:rsidRPr="001279D1">
        <w:rPr>
          <w:rFonts w:cs="Times New Roman"/>
          <w:i/>
          <w:iCs/>
          <w:szCs w:val="24"/>
        </w:rPr>
        <w:t>Carter-Wallace, Inc. v. Procter &amp; Gamble Co</w:t>
      </w:r>
      <w:r w:rsidR="003A6B46" w:rsidRPr="001279D1">
        <w:rPr>
          <w:rFonts w:cs="Times New Roman"/>
          <w:szCs w:val="24"/>
        </w:rPr>
        <w:t xml:space="preserve">., 434 F.2d 794 (9th Cir. 1970). </w:t>
      </w:r>
    </w:p>
    <w:p w14:paraId="1D901FC4" w14:textId="77777777" w:rsidR="004D4BC4" w:rsidRDefault="004D4BC4" w:rsidP="003A6B46">
      <w:pPr>
        <w:autoSpaceDE w:val="0"/>
        <w:autoSpaceDN w:val="0"/>
        <w:adjustRightInd w:val="0"/>
        <w:rPr>
          <w:rFonts w:cs="Times New Roman"/>
          <w:szCs w:val="24"/>
        </w:rPr>
      </w:pPr>
    </w:p>
    <w:p w14:paraId="7A77E943" w14:textId="1BAD8B8E" w:rsidR="003A6B46" w:rsidRPr="00A73AE9" w:rsidRDefault="004D4BC4" w:rsidP="004D4BC4">
      <w:pPr>
        <w:autoSpaceDE w:val="0"/>
        <w:autoSpaceDN w:val="0"/>
        <w:adjustRightInd w:val="0"/>
        <w:ind w:firstLine="720"/>
        <w:rPr>
          <w:rFonts w:cs="Times New Roman"/>
          <w:szCs w:val="24"/>
        </w:rPr>
      </w:pPr>
      <w:r w:rsidRPr="00A73AE9">
        <w:rPr>
          <w:rFonts w:cs="Times New Roman"/>
          <w:szCs w:val="24"/>
        </w:rPr>
        <w:t xml:space="preserve">In trademark law, the standard test of ownership is priority of use. </w:t>
      </w:r>
      <w:r w:rsidRPr="00A73AE9">
        <w:rPr>
          <w:rFonts w:cs="Times New Roman"/>
          <w:i/>
          <w:iCs/>
          <w:szCs w:val="24"/>
        </w:rPr>
        <w:t>See</w:t>
      </w:r>
      <w:r w:rsidRPr="00A73AE9">
        <w:rPr>
          <w:rFonts w:cs="Times New Roman"/>
          <w:szCs w:val="24"/>
        </w:rPr>
        <w:t xml:space="preserve"> </w:t>
      </w:r>
      <w:r w:rsidR="009F1008" w:rsidRPr="00A73AE9">
        <w:rPr>
          <w:rFonts w:cs="Times New Roman"/>
          <w:i/>
          <w:iCs/>
          <w:szCs w:val="24"/>
        </w:rPr>
        <w:t>Sengoku Works Ltd. v. RMC Int’l, Ltd.</w:t>
      </w:r>
      <w:r w:rsidR="009F1008" w:rsidRPr="00A73AE9">
        <w:rPr>
          <w:rFonts w:cs="Times New Roman"/>
          <w:szCs w:val="24"/>
        </w:rPr>
        <w:t xml:space="preserve">, 96 F.3d 1217, </w:t>
      </w:r>
      <w:r w:rsidRPr="00A73AE9">
        <w:rPr>
          <w:rFonts w:cs="Times New Roman"/>
          <w:szCs w:val="24"/>
        </w:rPr>
        <w:t>1219</w:t>
      </w:r>
      <w:r w:rsidR="009F1008" w:rsidRPr="00A73AE9">
        <w:rPr>
          <w:rFonts w:cs="Times New Roman"/>
          <w:szCs w:val="24"/>
        </w:rPr>
        <w:t xml:space="preserve"> (9th Cir. 1996).</w:t>
      </w:r>
      <w:r w:rsidRPr="00A73AE9">
        <w:rPr>
          <w:rFonts w:cs="Times New Roman"/>
          <w:szCs w:val="24"/>
        </w:rPr>
        <w:t xml:space="preserve"> “To acquire ownership of a trademark it is not enough to have invented the mark first or even to have registered it first; the party claiming ownership must have been the first to actually use the mark in the sale of goods or services.” </w:t>
      </w:r>
      <w:r w:rsidRPr="00A73AE9">
        <w:rPr>
          <w:rFonts w:cs="Times New Roman"/>
          <w:i/>
          <w:iCs/>
          <w:szCs w:val="24"/>
        </w:rPr>
        <w:t>Id.</w:t>
      </w:r>
      <w:r w:rsidRPr="00A73AE9">
        <w:rPr>
          <w:rFonts w:cs="Times New Roman"/>
          <w:szCs w:val="24"/>
        </w:rPr>
        <w:t xml:space="preserve"> A person also acquires the right to exclude others from using a trademark if a person acquires a “constructive use date” under 15 U.S.C. § 1051, or an “extension of protection” under 15 U.S.C. § 1141. </w:t>
      </w:r>
      <w:r w:rsidRPr="00A73AE9">
        <w:rPr>
          <w:rFonts w:cs="Times New Roman"/>
          <w:i/>
          <w:iCs/>
          <w:szCs w:val="24"/>
        </w:rPr>
        <w:t>Lodestar</w:t>
      </w:r>
      <w:r w:rsidRPr="00A73AE9">
        <w:rPr>
          <w:rFonts w:cs="Times New Roman"/>
          <w:szCs w:val="24"/>
        </w:rPr>
        <w:t xml:space="preserve"> </w:t>
      </w:r>
      <w:proofErr w:type="spellStart"/>
      <w:r w:rsidRPr="00A73AE9">
        <w:rPr>
          <w:rFonts w:cs="Times New Roman"/>
          <w:i/>
          <w:iCs/>
          <w:szCs w:val="24"/>
        </w:rPr>
        <w:t>Anstalt</w:t>
      </w:r>
      <w:proofErr w:type="spellEnd"/>
      <w:r w:rsidRPr="00A73AE9">
        <w:rPr>
          <w:rFonts w:cs="Times New Roman"/>
          <w:i/>
          <w:iCs/>
          <w:szCs w:val="24"/>
        </w:rPr>
        <w:t xml:space="preserve"> v. Bacardi &amp; Co.</w:t>
      </w:r>
      <w:r w:rsidRPr="00A73AE9">
        <w:rPr>
          <w:rFonts w:cs="Times New Roman"/>
          <w:szCs w:val="24"/>
        </w:rPr>
        <w:t xml:space="preserve">, 31 F.4th 1228, 1237-38 (9th Cir. 2022). The test of ownership is different if a person acquires a right to exclude under either of those statutes. </w:t>
      </w:r>
      <w:r w:rsidRPr="00A73AE9">
        <w:rPr>
          <w:rFonts w:cs="Times New Roman"/>
          <w:i/>
          <w:iCs/>
          <w:szCs w:val="24"/>
        </w:rPr>
        <w:t>See id</w:t>
      </w:r>
      <w:r w:rsidRPr="00A73AE9">
        <w:rPr>
          <w:rFonts w:cs="Times New Roman"/>
          <w:szCs w:val="24"/>
        </w:rPr>
        <w:t>.</w:t>
      </w:r>
    </w:p>
    <w:p w14:paraId="2DD50621" w14:textId="77777777" w:rsidR="004D4BC4" w:rsidRPr="001279D1" w:rsidRDefault="004D4BC4" w:rsidP="000B70C8">
      <w:pPr>
        <w:autoSpaceDE w:val="0"/>
        <w:autoSpaceDN w:val="0"/>
        <w:adjustRightInd w:val="0"/>
        <w:ind w:firstLine="720"/>
        <w:rPr>
          <w:rFonts w:cs="Times New Roman"/>
          <w:szCs w:val="24"/>
        </w:rPr>
      </w:pPr>
    </w:p>
    <w:p w14:paraId="2C4FAF27" w14:textId="3BF4B21B" w:rsidR="001279D1" w:rsidRPr="001279D1" w:rsidRDefault="001279D1" w:rsidP="004934DB">
      <w:pPr>
        <w:autoSpaceDE w:val="0"/>
        <w:autoSpaceDN w:val="0"/>
        <w:adjustRightInd w:val="0"/>
        <w:ind w:firstLine="720"/>
        <w:rPr>
          <w:rFonts w:cs="Times New Roman"/>
          <w:szCs w:val="24"/>
        </w:rPr>
      </w:pPr>
      <w:r w:rsidRPr="001279D1">
        <w:rPr>
          <w:rFonts w:cs="Times New Roman"/>
          <w:szCs w:val="24"/>
        </w:rPr>
        <w:lastRenderedPageBreak/>
        <w:t>Sometimes</w:t>
      </w:r>
      <w:r w:rsidR="00571BE9">
        <w:rPr>
          <w:rFonts w:cs="Times New Roman"/>
          <w:szCs w:val="24"/>
        </w:rPr>
        <w:t>,</w:t>
      </w:r>
      <w:r w:rsidRPr="001279D1">
        <w:rPr>
          <w:rFonts w:cs="Times New Roman"/>
          <w:szCs w:val="24"/>
        </w:rPr>
        <w:t xml:space="preserve"> </w:t>
      </w:r>
      <w:r w:rsidR="00571BE9">
        <w:rPr>
          <w:rFonts w:cs="Times New Roman"/>
          <w:szCs w:val="24"/>
        </w:rPr>
        <w:t xml:space="preserve">mark ownership is a jury question.  </w:t>
      </w:r>
      <w:r w:rsidRPr="001279D1">
        <w:rPr>
          <w:rFonts w:cs="Times New Roman"/>
          <w:szCs w:val="24"/>
        </w:rPr>
        <w:t xml:space="preserve">When the jury is to determine the ownership of a mark between manufacturer and distributor, </w:t>
      </w:r>
      <w:r w:rsidRPr="001279D1">
        <w:rPr>
          <w:rFonts w:cs="Times New Roman"/>
          <w:i/>
          <w:iCs/>
          <w:szCs w:val="24"/>
        </w:rPr>
        <w:t>see Sengoku Works Ltd.</w:t>
      </w:r>
      <w:r w:rsidRPr="001279D1">
        <w:rPr>
          <w:rFonts w:cs="Times New Roman"/>
          <w:szCs w:val="24"/>
        </w:rPr>
        <w:t xml:space="preserve">, 96 F.3d </w:t>
      </w:r>
      <w:r w:rsidR="00571BE9">
        <w:rPr>
          <w:rFonts w:cs="Times New Roman"/>
          <w:szCs w:val="24"/>
        </w:rPr>
        <w:t>at</w:t>
      </w:r>
      <w:r w:rsidRPr="001279D1">
        <w:rPr>
          <w:rFonts w:cs="Times New Roman"/>
          <w:szCs w:val="24"/>
        </w:rPr>
        <w:t xml:space="preserve"> 1219 (reviewing jury instructions and factors for determining such mark ownership). </w:t>
      </w:r>
      <w:r w:rsidRPr="001279D1">
        <w:rPr>
          <w:rFonts w:cs="Times New Roman"/>
          <w:i/>
          <w:iCs/>
          <w:szCs w:val="24"/>
        </w:rPr>
        <w:t xml:space="preserve">See </w:t>
      </w:r>
      <w:r w:rsidRPr="001279D1">
        <w:rPr>
          <w:rFonts w:cs="Times New Roman"/>
          <w:szCs w:val="24"/>
        </w:rPr>
        <w:t xml:space="preserve">Comment </w:t>
      </w:r>
      <w:proofErr w:type="gramStart"/>
      <w:r w:rsidRPr="001279D1">
        <w:rPr>
          <w:rFonts w:cs="Times New Roman"/>
          <w:szCs w:val="24"/>
        </w:rPr>
        <w:t>following</w:t>
      </w:r>
      <w:proofErr w:type="gramEnd"/>
      <w:r w:rsidRPr="001279D1">
        <w:rPr>
          <w:rFonts w:cs="Times New Roman"/>
          <w:szCs w:val="24"/>
        </w:rPr>
        <w:t xml:space="preserve"> Instruction 15.17 (Trademark Ownership—Merchant or Distributor). </w:t>
      </w:r>
      <w:r w:rsidRPr="001279D1">
        <w:rPr>
          <w:rFonts w:cs="Times New Roman"/>
          <w:i/>
          <w:iCs/>
          <w:szCs w:val="24"/>
        </w:rPr>
        <w:t>See also</w:t>
      </w:r>
      <w:r w:rsidRPr="001279D1">
        <w:rPr>
          <w:rFonts w:cs="Times New Roman"/>
          <w:szCs w:val="24"/>
        </w:rPr>
        <w:t xml:space="preserve"> Instruction 15.16 (Trademark Ownership—Licensee). In such a case, this instruction should be revised accordingly. The determination of priority of ownership is a question for the jury when </w:t>
      </w:r>
      <w:r w:rsidR="002805C2">
        <w:rPr>
          <w:rFonts w:cs="Times New Roman"/>
          <w:szCs w:val="24"/>
        </w:rPr>
        <w:t>it</w:t>
      </w:r>
      <w:r w:rsidR="002805C2" w:rsidRPr="001279D1">
        <w:rPr>
          <w:rFonts w:cs="Times New Roman"/>
          <w:szCs w:val="24"/>
        </w:rPr>
        <w:t xml:space="preserve"> </w:t>
      </w:r>
      <w:r w:rsidRPr="001279D1">
        <w:rPr>
          <w:rFonts w:cs="Times New Roman"/>
          <w:szCs w:val="24"/>
        </w:rPr>
        <w:t xml:space="preserve">is a genuine issue of material fact. </w:t>
      </w:r>
      <w:r w:rsidRPr="001279D1">
        <w:rPr>
          <w:rFonts w:cs="Times New Roman"/>
          <w:i/>
          <w:iCs/>
          <w:szCs w:val="24"/>
        </w:rPr>
        <w:t xml:space="preserve">See Grupo </w:t>
      </w:r>
      <w:proofErr w:type="spellStart"/>
      <w:r w:rsidRPr="001279D1">
        <w:rPr>
          <w:rFonts w:cs="Times New Roman"/>
          <w:i/>
          <w:iCs/>
          <w:szCs w:val="24"/>
        </w:rPr>
        <w:t>Gigante</w:t>
      </w:r>
      <w:proofErr w:type="spellEnd"/>
      <w:r w:rsidRPr="001279D1">
        <w:rPr>
          <w:rFonts w:cs="Times New Roman"/>
          <w:i/>
          <w:iCs/>
          <w:szCs w:val="24"/>
        </w:rPr>
        <w:t xml:space="preserve"> SA De CV v. </w:t>
      </w:r>
      <w:proofErr w:type="spellStart"/>
      <w:r w:rsidRPr="001279D1">
        <w:rPr>
          <w:rFonts w:cs="Times New Roman"/>
          <w:i/>
          <w:iCs/>
          <w:szCs w:val="24"/>
        </w:rPr>
        <w:t>Dallo</w:t>
      </w:r>
      <w:proofErr w:type="spellEnd"/>
      <w:r w:rsidRPr="001279D1">
        <w:rPr>
          <w:rFonts w:cs="Times New Roman"/>
          <w:i/>
          <w:iCs/>
          <w:szCs w:val="24"/>
        </w:rPr>
        <w:t xml:space="preserve"> &amp; Co., Inc., </w:t>
      </w:r>
      <w:r w:rsidRPr="001279D1">
        <w:rPr>
          <w:rFonts w:cs="Times New Roman"/>
          <w:szCs w:val="24"/>
        </w:rPr>
        <w:t xml:space="preserve">391 F.3d 1088, 1093-94, 1098-99, 1106-07 (9th Cir. 2004) (expressing no opinion as to whether evidence presented in case was sufficient as matter of law to establish that mark was famous for application of trademark priority principles). </w:t>
      </w:r>
    </w:p>
    <w:p w14:paraId="66C23280" w14:textId="77777777" w:rsidR="001279D1" w:rsidRPr="001279D1" w:rsidRDefault="001279D1" w:rsidP="001279D1">
      <w:pPr>
        <w:autoSpaceDE w:val="0"/>
        <w:autoSpaceDN w:val="0"/>
        <w:adjustRightInd w:val="0"/>
        <w:rPr>
          <w:rFonts w:cs="Times New Roman"/>
          <w:szCs w:val="24"/>
        </w:rPr>
      </w:pPr>
    </w:p>
    <w:p w14:paraId="43184812" w14:textId="77777777" w:rsidR="001279D1" w:rsidRPr="001279D1" w:rsidRDefault="001279D1" w:rsidP="001279D1">
      <w:pPr>
        <w:autoSpaceDE w:val="0"/>
        <w:autoSpaceDN w:val="0"/>
        <w:adjustRightInd w:val="0"/>
        <w:rPr>
          <w:rFonts w:cs="Times New Roman"/>
          <w:szCs w:val="24"/>
        </w:rPr>
      </w:pPr>
      <w:r w:rsidRPr="001279D1">
        <w:rPr>
          <w:rFonts w:cs="Times New Roman"/>
          <w:szCs w:val="24"/>
        </w:rPr>
        <w:tab/>
        <w:t xml:space="preserve">In cases when the validity of the trademark is a result of its acquiring secondary meaning (e.g., a descriptive mark with secondary meaning), add the following in lieu of the third and fourth paragraphs: </w:t>
      </w:r>
    </w:p>
    <w:p w14:paraId="15919FC7" w14:textId="77777777" w:rsidR="001279D1" w:rsidRPr="001279D1" w:rsidRDefault="001279D1" w:rsidP="001279D1">
      <w:pPr>
        <w:autoSpaceDE w:val="0"/>
        <w:autoSpaceDN w:val="0"/>
        <w:adjustRightInd w:val="0"/>
        <w:rPr>
          <w:rFonts w:cs="Times New Roman"/>
          <w:szCs w:val="24"/>
        </w:rPr>
      </w:pPr>
    </w:p>
    <w:p w14:paraId="0EAB427A" w14:textId="77777777" w:rsidR="001279D1" w:rsidRPr="001279D1" w:rsidRDefault="001279D1" w:rsidP="001279D1">
      <w:pPr>
        <w:ind w:left="1440" w:right="1440"/>
        <w:jc w:val="both"/>
        <w:rPr>
          <w:rFonts w:cs="Times New Roman"/>
          <w:szCs w:val="24"/>
        </w:rPr>
      </w:pPr>
      <w:r w:rsidRPr="001279D1">
        <w:rPr>
          <w:rFonts w:cs="Times New Roman"/>
          <w:szCs w:val="24"/>
        </w:rPr>
        <w:t>If the plaintiff’s [</w:t>
      </w:r>
      <w:r w:rsidRPr="001279D1">
        <w:rPr>
          <w:rFonts w:cs="Times New Roman"/>
          <w:i/>
          <w:iCs/>
          <w:szCs w:val="24"/>
          <w:u w:val="single"/>
        </w:rPr>
        <w:t>describe trademark</w:t>
      </w:r>
      <w:r w:rsidRPr="001279D1">
        <w:rPr>
          <w:rFonts w:cs="Times New Roman"/>
          <w:szCs w:val="24"/>
        </w:rPr>
        <w:t>] is not inherently distinctive, but the plaintiff has shown that the trademark is descriptive and that the trademark has acquired secondary meaning, the plaintiff has the burden of showing by a preponderance of the evidence that the plaintiff’s [</w:t>
      </w:r>
      <w:r w:rsidRPr="001279D1">
        <w:rPr>
          <w:rFonts w:cs="Times New Roman"/>
          <w:i/>
          <w:iCs/>
          <w:szCs w:val="24"/>
          <w:u w:val="single"/>
        </w:rPr>
        <w:t>describe trademark</w:t>
      </w:r>
      <w:r w:rsidRPr="001279D1">
        <w:rPr>
          <w:rFonts w:cs="Times New Roman"/>
          <w:szCs w:val="24"/>
        </w:rPr>
        <w:t>] had gained secondary meaning before the defendant first began to use the [</w:t>
      </w:r>
      <w:r w:rsidRPr="001279D1">
        <w:rPr>
          <w:rFonts w:cs="Times New Roman"/>
          <w:i/>
          <w:iCs/>
          <w:szCs w:val="24"/>
          <w:u w:val="single"/>
        </w:rPr>
        <w:t>describe trademark</w:t>
      </w:r>
      <w:r w:rsidRPr="001279D1">
        <w:rPr>
          <w:rFonts w:cs="Times New Roman"/>
          <w:szCs w:val="24"/>
        </w:rPr>
        <w:t>].</w:t>
      </w:r>
    </w:p>
    <w:p w14:paraId="5B220A1A" w14:textId="77777777" w:rsidR="001279D1" w:rsidRPr="007833A0" w:rsidRDefault="001279D1" w:rsidP="001279D1">
      <w:pPr>
        <w:ind w:left="1440" w:right="1440"/>
        <w:jc w:val="both"/>
        <w:rPr>
          <w:rFonts w:cs="Times New Roman"/>
          <w:szCs w:val="24"/>
        </w:rPr>
      </w:pPr>
    </w:p>
    <w:p w14:paraId="43EA61BC" w14:textId="77777777" w:rsidR="001279D1" w:rsidRPr="007833A0" w:rsidRDefault="001279D1" w:rsidP="001279D1">
      <w:pPr>
        <w:autoSpaceDE w:val="0"/>
        <w:autoSpaceDN w:val="0"/>
        <w:adjustRightInd w:val="0"/>
        <w:ind w:firstLine="720"/>
        <w:rPr>
          <w:rFonts w:cs="Times New Roman"/>
          <w:szCs w:val="24"/>
        </w:rPr>
      </w:pPr>
      <w:r w:rsidRPr="007833A0">
        <w:rPr>
          <w:rFonts w:cs="Times New Roman"/>
          <w:szCs w:val="24"/>
        </w:rPr>
        <w:t xml:space="preserve">Trademark priority and the right to exclude others from using a trademark depend </w:t>
      </w:r>
      <w:proofErr w:type="gramStart"/>
      <w:r w:rsidRPr="007833A0">
        <w:rPr>
          <w:rFonts w:cs="Times New Roman"/>
          <w:szCs w:val="24"/>
        </w:rPr>
        <w:t>not</w:t>
      </w:r>
      <w:proofErr w:type="gramEnd"/>
    </w:p>
    <w:p w14:paraId="11B43E6B" w14:textId="63E02BD9" w:rsidR="001279D1" w:rsidRPr="007833A0" w:rsidRDefault="001279D1" w:rsidP="001279D1">
      <w:pPr>
        <w:autoSpaceDE w:val="0"/>
        <w:autoSpaceDN w:val="0"/>
        <w:adjustRightInd w:val="0"/>
        <w:rPr>
          <w:rFonts w:cs="Times New Roman"/>
          <w:szCs w:val="24"/>
        </w:rPr>
      </w:pPr>
      <w:r w:rsidRPr="007833A0">
        <w:rPr>
          <w:rFonts w:cs="Times New Roman"/>
          <w:szCs w:val="24"/>
        </w:rPr>
        <w:t xml:space="preserve">merely on first use but on </w:t>
      </w:r>
      <w:r w:rsidRPr="007833A0">
        <w:rPr>
          <w:rFonts w:cs="Times New Roman"/>
          <w:i/>
          <w:iCs/>
          <w:szCs w:val="24"/>
        </w:rPr>
        <w:t xml:space="preserve">lawful </w:t>
      </w:r>
      <w:r w:rsidRPr="007833A0">
        <w:rPr>
          <w:rFonts w:cs="Times New Roman"/>
          <w:szCs w:val="24"/>
        </w:rPr>
        <w:t xml:space="preserve">first use. </w:t>
      </w:r>
      <w:r w:rsidRPr="007833A0">
        <w:rPr>
          <w:rFonts w:cs="Times New Roman"/>
          <w:i/>
          <w:iCs/>
          <w:szCs w:val="24"/>
        </w:rPr>
        <w:t>See AK Futures LLC v. Boyd Street Distro, LLC</w:t>
      </w:r>
      <w:r w:rsidRPr="007833A0">
        <w:rPr>
          <w:rFonts w:cs="Times New Roman"/>
          <w:szCs w:val="24"/>
        </w:rPr>
        <w:t>, 35</w:t>
      </w:r>
    </w:p>
    <w:p w14:paraId="4ACB4F89" w14:textId="4B3BDA03" w:rsidR="001279D1" w:rsidRPr="007833A0" w:rsidRDefault="001279D1" w:rsidP="001279D1">
      <w:pPr>
        <w:autoSpaceDE w:val="0"/>
        <w:autoSpaceDN w:val="0"/>
        <w:adjustRightInd w:val="0"/>
        <w:rPr>
          <w:rFonts w:cs="Times New Roman"/>
          <w:i/>
          <w:iCs/>
          <w:szCs w:val="24"/>
        </w:rPr>
      </w:pPr>
      <w:r w:rsidRPr="007833A0">
        <w:rPr>
          <w:rFonts w:cs="Times New Roman"/>
          <w:szCs w:val="24"/>
        </w:rPr>
        <w:t xml:space="preserve">F.4th 682, 689 (9th Cir. 2022) (citing </w:t>
      </w:r>
      <w:proofErr w:type="spellStart"/>
      <w:r w:rsidRPr="007833A0">
        <w:rPr>
          <w:rFonts w:cs="Times New Roman"/>
          <w:i/>
          <w:iCs/>
          <w:szCs w:val="24"/>
        </w:rPr>
        <w:t>CreAgri</w:t>
      </w:r>
      <w:proofErr w:type="spellEnd"/>
      <w:r w:rsidRPr="007833A0">
        <w:rPr>
          <w:rFonts w:cs="Times New Roman"/>
          <w:i/>
          <w:iCs/>
          <w:szCs w:val="24"/>
        </w:rPr>
        <w:t xml:space="preserve">, Inc. v. USANA Health </w:t>
      </w:r>
      <w:proofErr w:type="spellStart"/>
      <w:r w:rsidRPr="007833A0">
        <w:rPr>
          <w:rFonts w:cs="Times New Roman"/>
          <w:i/>
          <w:iCs/>
          <w:szCs w:val="24"/>
        </w:rPr>
        <w:t>Scis</w:t>
      </w:r>
      <w:proofErr w:type="spellEnd"/>
      <w:r w:rsidRPr="007833A0">
        <w:rPr>
          <w:rFonts w:cs="Times New Roman"/>
          <w:i/>
          <w:iCs/>
          <w:szCs w:val="24"/>
        </w:rPr>
        <w:t>., Inc.</w:t>
      </w:r>
      <w:r w:rsidRPr="007833A0">
        <w:rPr>
          <w:rFonts w:cs="Times New Roman"/>
          <w:szCs w:val="24"/>
        </w:rPr>
        <w:t>, 474 F.3d 626, 630 (9th Cir. 2007)). However, “illegal activity of insufficient gravity or</w:t>
      </w:r>
      <w:r w:rsidRPr="007833A0">
        <w:rPr>
          <w:rFonts w:cs="Times New Roman"/>
          <w:i/>
          <w:iCs/>
          <w:szCs w:val="24"/>
        </w:rPr>
        <w:t xml:space="preserve"> </w:t>
      </w:r>
      <w:r w:rsidRPr="007833A0">
        <w:rPr>
          <w:rFonts w:cs="Times New Roman"/>
          <w:szCs w:val="24"/>
        </w:rPr>
        <w:t xml:space="preserve">connection to a mark’s use in commerce might not defeat an otherwise valid trademark.” </w:t>
      </w:r>
      <w:r w:rsidRPr="007833A0">
        <w:rPr>
          <w:rFonts w:cs="Times New Roman"/>
          <w:i/>
          <w:iCs/>
          <w:szCs w:val="24"/>
        </w:rPr>
        <w:t>Id.</w:t>
      </w:r>
    </w:p>
    <w:p w14:paraId="74B70B3D" w14:textId="77777777" w:rsidR="001279D1" w:rsidRPr="001279D1" w:rsidRDefault="001279D1" w:rsidP="001279D1">
      <w:pPr>
        <w:ind w:left="1440" w:right="1440"/>
        <w:jc w:val="both"/>
        <w:rPr>
          <w:rFonts w:cs="Times New Roman"/>
          <w:szCs w:val="24"/>
        </w:rPr>
      </w:pPr>
    </w:p>
    <w:p w14:paraId="2D372683" w14:textId="7194A1FF" w:rsidR="001279D1" w:rsidRPr="001279D1" w:rsidRDefault="001279D1" w:rsidP="001279D1">
      <w:pPr>
        <w:kinsoku w:val="0"/>
        <w:overflowPunct w:val="0"/>
        <w:autoSpaceDE w:val="0"/>
        <w:autoSpaceDN w:val="0"/>
        <w:adjustRightInd w:val="0"/>
        <w:ind w:left="40" w:right="102" w:firstLine="720"/>
        <w:rPr>
          <w:rFonts w:cs="Times New Roman"/>
          <w:szCs w:val="24"/>
        </w:rPr>
      </w:pPr>
      <w:r w:rsidRPr="001279D1">
        <w:rPr>
          <w:rFonts w:cs="Times New Roman"/>
          <w:szCs w:val="24"/>
        </w:rPr>
        <w:t xml:space="preserve">Under the “Protocol Relating to the Madrid Agreement Concerning the International Registration of Marks,” June 27, 1989, T.I.A.S. No. 03-1102, commonly known as the “Madrid Protocol,” an individual or entity that possesses trademark protection in another country can apply for an extension of protection in the U.S., which will function like trademark registration in the U.S., without requiring use of the mark in U.S. commerce. </w:t>
      </w:r>
      <w:r w:rsidRPr="001279D1">
        <w:rPr>
          <w:rFonts w:cs="Times New Roman"/>
          <w:i/>
          <w:iCs/>
          <w:szCs w:val="24"/>
        </w:rPr>
        <w:t xml:space="preserve">Lodestar </w:t>
      </w:r>
      <w:proofErr w:type="spellStart"/>
      <w:r w:rsidRPr="001279D1">
        <w:rPr>
          <w:rFonts w:cs="Times New Roman"/>
          <w:i/>
          <w:iCs/>
          <w:szCs w:val="24"/>
        </w:rPr>
        <w:t>Anstalt</w:t>
      </w:r>
      <w:proofErr w:type="spellEnd"/>
      <w:r w:rsidRPr="001279D1">
        <w:rPr>
          <w:rFonts w:cs="Times New Roman"/>
          <w:szCs w:val="24"/>
        </w:rPr>
        <w:t xml:space="preserve">, 31 F.4th </w:t>
      </w:r>
      <w:r w:rsidR="00160D1E">
        <w:rPr>
          <w:rFonts w:cs="Times New Roman"/>
          <w:szCs w:val="24"/>
        </w:rPr>
        <w:t>at</w:t>
      </w:r>
      <w:r w:rsidRPr="001279D1">
        <w:rPr>
          <w:rFonts w:cs="Times New Roman"/>
          <w:szCs w:val="24"/>
        </w:rPr>
        <w:t xml:space="preserve"> 1237–38. Any such applicant will receive protection, even if the applicant is unable to show that it has used the relevant mark in U.S. commerce, so long as the applicant declares a bona fide intent to use the mark in U.S. commerce.  </w:t>
      </w:r>
      <w:r w:rsidRPr="001279D1">
        <w:rPr>
          <w:rFonts w:cs="Times New Roman"/>
          <w:i/>
          <w:iCs/>
          <w:szCs w:val="24"/>
        </w:rPr>
        <w:t xml:space="preserve">Id. </w:t>
      </w:r>
      <w:r w:rsidRPr="001279D1">
        <w:rPr>
          <w:rFonts w:cs="Times New Roman"/>
          <w:szCs w:val="24"/>
        </w:rPr>
        <w:t xml:space="preserve">at 1238. However, a failure to file a statement of use in commerce within the applicable time period will result in the cancellation of the extension of protection under 15 U.S.C. § 1141. </w:t>
      </w:r>
      <w:r w:rsidRPr="001279D1">
        <w:rPr>
          <w:rFonts w:cs="Times New Roman"/>
          <w:i/>
          <w:iCs/>
          <w:szCs w:val="24"/>
        </w:rPr>
        <w:t xml:space="preserve">Id. </w:t>
      </w:r>
      <w:r w:rsidRPr="001279D1">
        <w:rPr>
          <w:rFonts w:cs="Times New Roman"/>
          <w:szCs w:val="24"/>
        </w:rPr>
        <w:t>at 1238.</w:t>
      </w:r>
      <w:r w:rsidR="006172F2">
        <w:rPr>
          <w:rFonts w:cs="Times New Roman"/>
          <w:szCs w:val="24"/>
        </w:rPr>
        <w:t xml:space="preserve">  </w:t>
      </w:r>
      <w:r w:rsidR="006172F2" w:rsidRPr="006172F2">
        <w:rPr>
          <w:rFonts w:cs="Times New Roman"/>
          <w:i/>
          <w:iCs/>
          <w:szCs w:val="24"/>
        </w:rPr>
        <w:t>See</w:t>
      </w:r>
      <w:r w:rsidR="006172F2">
        <w:rPr>
          <w:rFonts w:cs="Times New Roman"/>
          <w:szCs w:val="24"/>
        </w:rPr>
        <w:t xml:space="preserve"> 15 U.S.C. § 1127 (defining “commerce” to include “</w:t>
      </w:r>
      <w:r w:rsidR="006172F2" w:rsidRPr="006172F2">
        <w:rPr>
          <w:rFonts w:cs="Times New Roman"/>
          <w:szCs w:val="24"/>
        </w:rPr>
        <w:t>all commerce which may lawfully be regulated by Congress.</w:t>
      </w:r>
      <w:r w:rsidR="006172F2">
        <w:rPr>
          <w:rFonts w:cs="Times New Roman"/>
          <w:szCs w:val="24"/>
        </w:rPr>
        <w:t>”).</w:t>
      </w:r>
    </w:p>
    <w:p w14:paraId="37CD331A" w14:textId="77777777" w:rsidR="001279D1" w:rsidRPr="001279D1" w:rsidRDefault="001279D1" w:rsidP="001279D1">
      <w:pPr>
        <w:kinsoku w:val="0"/>
        <w:overflowPunct w:val="0"/>
        <w:autoSpaceDE w:val="0"/>
        <w:autoSpaceDN w:val="0"/>
        <w:adjustRightInd w:val="0"/>
        <w:ind w:left="40" w:right="102" w:firstLine="720"/>
        <w:rPr>
          <w:rFonts w:cs="Times New Roman"/>
          <w:i/>
          <w:iCs/>
          <w:szCs w:val="24"/>
        </w:rPr>
      </w:pPr>
    </w:p>
    <w:p w14:paraId="562E392C" w14:textId="18E58F17" w:rsidR="001279D1" w:rsidRPr="001279D1" w:rsidRDefault="001279D1" w:rsidP="001279D1">
      <w:pPr>
        <w:kinsoku w:val="0"/>
        <w:overflowPunct w:val="0"/>
        <w:autoSpaceDE w:val="0"/>
        <w:autoSpaceDN w:val="0"/>
        <w:adjustRightInd w:val="0"/>
        <w:ind w:left="40" w:right="82" w:firstLine="720"/>
        <w:rPr>
          <w:rFonts w:cs="Times New Roman"/>
          <w:szCs w:val="24"/>
        </w:rPr>
      </w:pPr>
      <w:r w:rsidRPr="001279D1">
        <w:rPr>
          <w:rFonts w:cs="Times New Roman"/>
          <w:szCs w:val="24"/>
        </w:rPr>
        <w:t xml:space="preserve">However, under the Madrid Protocol, an entity or individual with a right of priority will only be entitled to bring an infringement action after it begins actual use (as opposed to mere constructive use) of the mark in question. </w:t>
      </w:r>
      <w:r w:rsidRPr="001279D1">
        <w:rPr>
          <w:rFonts w:cs="Times New Roman"/>
          <w:i/>
          <w:iCs/>
          <w:szCs w:val="24"/>
        </w:rPr>
        <w:t xml:space="preserve">Id. </w:t>
      </w:r>
      <w:r w:rsidRPr="001279D1">
        <w:rPr>
          <w:rFonts w:cs="Times New Roman"/>
          <w:szCs w:val="24"/>
        </w:rPr>
        <w:t xml:space="preserve">at 1250. Moreover, that entity or individual will be entitled to bring an infringement action, even if it only began to use the mark after the competing user had already begun to do so. </w:t>
      </w:r>
      <w:r w:rsidRPr="001279D1">
        <w:rPr>
          <w:rFonts w:cs="Times New Roman"/>
          <w:i/>
          <w:iCs/>
          <w:szCs w:val="24"/>
        </w:rPr>
        <w:t xml:space="preserve">Id. </w:t>
      </w:r>
      <w:r w:rsidRPr="001279D1">
        <w:rPr>
          <w:rFonts w:cs="Times New Roman"/>
          <w:szCs w:val="24"/>
        </w:rPr>
        <w:t xml:space="preserve">That said, to retain a right of priority, the mark’s use must be a bona fide use and a genuine commercial endeavor, rather than a mere effort to retain rights in the mark. </w:t>
      </w:r>
      <w:r w:rsidRPr="001279D1">
        <w:rPr>
          <w:rFonts w:cs="Times New Roman"/>
          <w:i/>
          <w:iCs/>
          <w:szCs w:val="24"/>
        </w:rPr>
        <w:t xml:space="preserve">Id. </w:t>
      </w:r>
      <w:r w:rsidRPr="001279D1">
        <w:rPr>
          <w:rFonts w:cs="Times New Roman"/>
          <w:szCs w:val="24"/>
        </w:rPr>
        <w:t xml:space="preserve">at 1255. And, in order to assert a claim for infringement, the </w:t>
      </w:r>
      <w:r w:rsidRPr="001279D1">
        <w:rPr>
          <w:rFonts w:cs="Times New Roman"/>
          <w:szCs w:val="24"/>
        </w:rPr>
        <w:lastRenderedPageBreak/>
        <w:t>individual with a right of priority would still have to demonstrate the requisite likelihood of</w:t>
      </w:r>
      <w:r w:rsidRPr="001279D1">
        <w:rPr>
          <w:rFonts w:cs="Times New Roman"/>
          <w:szCs w:val="24"/>
          <w:u w:val="single"/>
        </w:rPr>
        <w:t xml:space="preserve"> </w:t>
      </w:r>
      <w:r w:rsidRPr="001279D1">
        <w:rPr>
          <w:rFonts w:cs="Times New Roman"/>
          <w:szCs w:val="24"/>
        </w:rPr>
        <w:t xml:space="preserve">confusion and prevail against the defendant’s applicable defenses. </w:t>
      </w:r>
      <w:r w:rsidR="005D1DB0">
        <w:rPr>
          <w:rFonts w:cs="Times New Roman"/>
          <w:i/>
          <w:iCs/>
          <w:szCs w:val="24"/>
        </w:rPr>
        <w:t>Id.</w:t>
      </w:r>
      <w:r w:rsidRPr="001279D1">
        <w:rPr>
          <w:rFonts w:cs="Times New Roman"/>
          <w:szCs w:val="24"/>
        </w:rPr>
        <w:t xml:space="preserve"> at 1251. When considering likelihood of confusion, the</w:t>
      </w:r>
      <w:r w:rsidRPr="001279D1">
        <w:rPr>
          <w:rFonts w:cs="Times New Roman"/>
          <w:szCs w:val="24"/>
          <w:u w:val="single"/>
        </w:rPr>
        <w:t xml:space="preserve"> </w:t>
      </w:r>
      <w:r w:rsidRPr="001279D1">
        <w:rPr>
          <w:rFonts w:cs="Times New Roman"/>
          <w:szCs w:val="24"/>
        </w:rPr>
        <w:t>Ninth Circuit has held it is erroneous to adopt a categorical temporal rule</w:t>
      </w:r>
      <w:r w:rsidRPr="001279D1">
        <w:rPr>
          <w:rFonts w:ascii="TimesNewRomanPSMT" w:hAnsi="TimesNewRomanPSMT" w:cs="TimesNewRomanPSMT"/>
          <w:sz w:val="28"/>
          <w:szCs w:val="28"/>
        </w:rPr>
        <w:t xml:space="preserve"> </w:t>
      </w:r>
      <w:r w:rsidRPr="001279D1">
        <w:rPr>
          <w:rFonts w:cs="Times New Roman"/>
          <w:szCs w:val="24"/>
        </w:rPr>
        <w:t>that excludes consideration of uses of the trademark made by the senior</w:t>
      </w:r>
      <w:r w:rsidRPr="001279D1">
        <w:rPr>
          <w:rFonts w:cs="Times New Roman"/>
          <w:szCs w:val="24"/>
          <w:u w:val="single"/>
        </w:rPr>
        <w:t xml:space="preserve"> </w:t>
      </w:r>
      <w:r w:rsidRPr="001279D1">
        <w:rPr>
          <w:rFonts w:cs="Times New Roman"/>
          <w:szCs w:val="24"/>
        </w:rPr>
        <w:t xml:space="preserve">trademark holder </w:t>
      </w:r>
      <w:r w:rsidRPr="001279D1">
        <w:rPr>
          <w:rFonts w:cs="Times New Roman"/>
          <w:i/>
          <w:iCs/>
          <w:szCs w:val="24"/>
        </w:rPr>
        <w:t xml:space="preserve">after </w:t>
      </w:r>
      <w:r w:rsidRPr="001279D1">
        <w:rPr>
          <w:rFonts w:cs="Times New Roman"/>
          <w:szCs w:val="24"/>
        </w:rPr>
        <w:t xml:space="preserve">the infringer uses the mark. </w:t>
      </w:r>
      <w:r w:rsidRPr="001279D1">
        <w:rPr>
          <w:rFonts w:cs="Times New Roman"/>
          <w:i/>
          <w:iCs/>
          <w:szCs w:val="24"/>
        </w:rPr>
        <w:t xml:space="preserve">Id. </w:t>
      </w:r>
      <w:r w:rsidRPr="001279D1">
        <w:rPr>
          <w:rFonts w:cs="Times New Roman"/>
          <w:szCs w:val="24"/>
        </w:rPr>
        <w:t>at 1253.</w:t>
      </w:r>
    </w:p>
    <w:p w14:paraId="465426D3" w14:textId="77777777" w:rsidR="001279D1" w:rsidRPr="001279D1" w:rsidRDefault="001279D1" w:rsidP="001279D1">
      <w:pPr>
        <w:kinsoku w:val="0"/>
        <w:overflowPunct w:val="0"/>
        <w:autoSpaceDE w:val="0"/>
        <w:autoSpaceDN w:val="0"/>
        <w:adjustRightInd w:val="0"/>
        <w:ind w:left="40" w:right="82" w:firstLine="720"/>
        <w:rPr>
          <w:rFonts w:cs="Times New Roman"/>
          <w:szCs w:val="24"/>
        </w:rPr>
      </w:pPr>
    </w:p>
    <w:p w14:paraId="40C8397E" w14:textId="39AF1649" w:rsidR="006A4CD7" w:rsidRPr="00E97E6A" w:rsidRDefault="001279D1" w:rsidP="00E97E6A">
      <w:pPr>
        <w:kinsoku w:val="0"/>
        <w:overflowPunct w:val="0"/>
        <w:autoSpaceDE w:val="0"/>
        <w:autoSpaceDN w:val="0"/>
        <w:adjustRightInd w:val="0"/>
        <w:ind w:right="82"/>
        <w:jc w:val="right"/>
        <w:rPr>
          <w:rFonts w:cs="Times New Roman"/>
          <w:i/>
          <w:iCs/>
          <w:szCs w:val="24"/>
        </w:rPr>
      </w:pPr>
      <w:r w:rsidRPr="001279D1">
        <w:rPr>
          <w:rFonts w:cs="Times New Roman"/>
          <w:i/>
          <w:iCs/>
          <w:szCs w:val="24"/>
        </w:rPr>
        <w:t xml:space="preserve">Revised </w:t>
      </w:r>
      <w:r w:rsidR="00CB14AB">
        <w:rPr>
          <w:rFonts w:cs="Times New Roman"/>
          <w:i/>
          <w:iCs/>
          <w:szCs w:val="24"/>
        </w:rPr>
        <w:t>March 2024</w:t>
      </w:r>
      <w:r w:rsidR="006A4CD7" w:rsidRPr="00BF24DD">
        <w:rPr>
          <w:rFonts w:cs="Times New Roman"/>
          <w:szCs w:val="24"/>
        </w:rPr>
        <w:t xml:space="preserve"> </w:t>
      </w:r>
    </w:p>
    <w:sectPr w:rsidR="006A4CD7" w:rsidRPr="00E97E6A" w:rsidSect="00030A67">
      <w:footerReference w:type="default" r:id="rId8"/>
      <w:pgSz w:w="12240" w:h="15840"/>
      <w:pgMar w:top="1350" w:right="1440" w:bottom="1170" w:left="1440" w:header="1440" w:footer="11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E434A" w14:textId="77777777" w:rsidR="00490FD7" w:rsidRDefault="00490FD7" w:rsidP="006A4CD7">
      <w:r>
        <w:separator/>
      </w:r>
    </w:p>
  </w:endnote>
  <w:endnote w:type="continuationSeparator" w:id="0">
    <w:p w14:paraId="416F994C" w14:textId="77777777" w:rsidR="00490FD7" w:rsidRDefault="00490FD7" w:rsidP="006A4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MT">
    <w:altName w:val="HGPMinchoE"/>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1106522"/>
      <w:docPartObj>
        <w:docPartGallery w:val="Page Numbers (Bottom of Page)"/>
        <w:docPartUnique/>
      </w:docPartObj>
    </w:sdtPr>
    <w:sdtEndPr>
      <w:rPr>
        <w:noProof/>
      </w:rPr>
    </w:sdtEndPr>
    <w:sdtContent>
      <w:p w14:paraId="143A94B9" w14:textId="77777777" w:rsidR="007476B8" w:rsidRDefault="007476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683F25" w14:textId="77777777" w:rsidR="007476B8" w:rsidRDefault="007476B8">
    <w:pPr>
      <w:spacing w:line="19" w:lineRule="auto"/>
      <w:rPr>
        <w:i/>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E3948" w14:textId="77777777" w:rsidR="00490FD7" w:rsidRDefault="00490FD7" w:rsidP="006A4CD7">
      <w:r>
        <w:separator/>
      </w:r>
    </w:p>
  </w:footnote>
  <w:footnote w:type="continuationSeparator" w:id="0">
    <w:p w14:paraId="2E3CB5C3" w14:textId="77777777" w:rsidR="00490FD7" w:rsidRDefault="00490FD7" w:rsidP="006A4C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40CA"/>
    <w:multiLevelType w:val="multilevel"/>
    <w:tmpl w:val="9DD44E3E"/>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 w15:restartNumberingAfterBreak="0">
    <w:nsid w:val="05763826"/>
    <w:multiLevelType w:val="hybridMultilevel"/>
    <w:tmpl w:val="4E0C70B4"/>
    <w:lvl w:ilvl="0" w:tplc="8C54E5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B493DF9"/>
    <w:multiLevelType w:val="hybridMultilevel"/>
    <w:tmpl w:val="92D47C2C"/>
    <w:lvl w:ilvl="0" w:tplc="C65E8F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3520893"/>
    <w:multiLevelType w:val="hybridMultilevel"/>
    <w:tmpl w:val="1C927488"/>
    <w:lvl w:ilvl="0" w:tplc="0C16FF4A">
      <w:start w:val="1"/>
      <w:numFmt w:val="decimal"/>
      <w:lvlText w:val="%1."/>
      <w:lvlJc w:val="left"/>
      <w:pPr>
        <w:ind w:left="1540" w:hanging="720"/>
      </w:pPr>
      <w:rPr>
        <w:rFonts w:ascii="Times New Roman" w:eastAsia="Times New Roman" w:hAnsi="Times New Roman" w:cs="Times New Roman" w:hint="default"/>
        <w:spacing w:val="-7"/>
        <w:w w:val="99"/>
        <w:sz w:val="24"/>
        <w:szCs w:val="24"/>
      </w:rPr>
    </w:lvl>
    <w:lvl w:ilvl="1" w:tplc="5F40753A">
      <w:numFmt w:val="bullet"/>
      <w:lvlText w:val="•"/>
      <w:lvlJc w:val="left"/>
      <w:pPr>
        <w:ind w:left="2344" w:hanging="720"/>
      </w:pPr>
      <w:rPr>
        <w:rFonts w:hint="default"/>
      </w:rPr>
    </w:lvl>
    <w:lvl w:ilvl="2" w:tplc="D43463B6">
      <w:numFmt w:val="bullet"/>
      <w:lvlText w:val="•"/>
      <w:lvlJc w:val="left"/>
      <w:pPr>
        <w:ind w:left="3148" w:hanging="720"/>
      </w:pPr>
      <w:rPr>
        <w:rFonts w:hint="default"/>
      </w:rPr>
    </w:lvl>
    <w:lvl w:ilvl="3" w:tplc="B01EE080">
      <w:numFmt w:val="bullet"/>
      <w:lvlText w:val="•"/>
      <w:lvlJc w:val="left"/>
      <w:pPr>
        <w:ind w:left="3952" w:hanging="720"/>
      </w:pPr>
      <w:rPr>
        <w:rFonts w:hint="default"/>
      </w:rPr>
    </w:lvl>
    <w:lvl w:ilvl="4" w:tplc="25B6136C">
      <w:numFmt w:val="bullet"/>
      <w:lvlText w:val="•"/>
      <w:lvlJc w:val="left"/>
      <w:pPr>
        <w:ind w:left="4756" w:hanging="720"/>
      </w:pPr>
      <w:rPr>
        <w:rFonts w:hint="default"/>
      </w:rPr>
    </w:lvl>
    <w:lvl w:ilvl="5" w:tplc="7334F7A8">
      <w:numFmt w:val="bullet"/>
      <w:lvlText w:val="•"/>
      <w:lvlJc w:val="left"/>
      <w:pPr>
        <w:ind w:left="5560" w:hanging="720"/>
      </w:pPr>
      <w:rPr>
        <w:rFonts w:hint="default"/>
      </w:rPr>
    </w:lvl>
    <w:lvl w:ilvl="6" w:tplc="84D8C27A">
      <w:numFmt w:val="bullet"/>
      <w:lvlText w:val="•"/>
      <w:lvlJc w:val="left"/>
      <w:pPr>
        <w:ind w:left="6364" w:hanging="720"/>
      </w:pPr>
      <w:rPr>
        <w:rFonts w:hint="default"/>
      </w:rPr>
    </w:lvl>
    <w:lvl w:ilvl="7" w:tplc="47089538">
      <w:numFmt w:val="bullet"/>
      <w:lvlText w:val="•"/>
      <w:lvlJc w:val="left"/>
      <w:pPr>
        <w:ind w:left="7168" w:hanging="720"/>
      </w:pPr>
      <w:rPr>
        <w:rFonts w:hint="default"/>
      </w:rPr>
    </w:lvl>
    <w:lvl w:ilvl="8" w:tplc="E86876F8">
      <w:numFmt w:val="bullet"/>
      <w:lvlText w:val="•"/>
      <w:lvlJc w:val="left"/>
      <w:pPr>
        <w:ind w:left="7972" w:hanging="720"/>
      </w:pPr>
      <w:rPr>
        <w:rFonts w:hint="default"/>
      </w:rPr>
    </w:lvl>
  </w:abstractNum>
  <w:abstractNum w:abstractNumId="4" w15:restartNumberingAfterBreak="0">
    <w:nsid w:val="43EE343B"/>
    <w:multiLevelType w:val="hybridMultilevel"/>
    <w:tmpl w:val="1D34B862"/>
    <w:lvl w:ilvl="0" w:tplc="D562C38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4621601"/>
    <w:multiLevelType w:val="multilevel"/>
    <w:tmpl w:val="C2C4817E"/>
    <w:lvl w:ilvl="0">
      <w:start w:val="17"/>
      <w:numFmt w:val="decimal"/>
      <w:lvlText w:val="%1"/>
      <w:lvlJc w:val="left"/>
      <w:pPr>
        <w:ind w:left="882" w:hanging="540"/>
      </w:pPr>
      <w:rPr>
        <w:rFonts w:hint="default"/>
      </w:rPr>
    </w:lvl>
    <w:lvl w:ilvl="1">
      <w:start w:val="22"/>
      <w:numFmt w:val="decimal"/>
      <w:lvlText w:val="%1.%2"/>
      <w:lvlJc w:val="left"/>
      <w:pPr>
        <w:ind w:left="2160" w:hanging="792"/>
      </w:pPr>
      <w:rPr>
        <w:rFonts w:ascii="Times New Roman" w:eastAsia="Times New Roman" w:hAnsi="Times New Roman" w:cs="Times New Roman" w:hint="default"/>
        <w:b/>
        <w:bCs/>
        <w:spacing w:val="-2"/>
        <w:w w:val="100"/>
        <w:sz w:val="22"/>
        <w:szCs w:val="22"/>
      </w:rPr>
    </w:lvl>
    <w:lvl w:ilvl="2">
      <w:numFmt w:val="bullet"/>
      <w:lvlText w:val="•"/>
      <w:lvlJc w:val="left"/>
      <w:pPr>
        <w:ind w:left="2620" w:hanging="540"/>
      </w:pPr>
      <w:rPr>
        <w:rFonts w:hint="default"/>
      </w:rPr>
    </w:lvl>
    <w:lvl w:ilvl="3">
      <w:numFmt w:val="bullet"/>
      <w:lvlText w:val="•"/>
      <w:lvlJc w:val="left"/>
      <w:pPr>
        <w:ind w:left="3490" w:hanging="540"/>
      </w:pPr>
      <w:rPr>
        <w:rFonts w:hint="default"/>
      </w:rPr>
    </w:lvl>
    <w:lvl w:ilvl="4">
      <w:numFmt w:val="bullet"/>
      <w:lvlText w:val="•"/>
      <w:lvlJc w:val="left"/>
      <w:pPr>
        <w:ind w:left="4360" w:hanging="540"/>
      </w:pPr>
      <w:rPr>
        <w:rFonts w:hint="default"/>
      </w:rPr>
    </w:lvl>
    <w:lvl w:ilvl="5">
      <w:numFmt w:val="bullet"/>
      <w:lvlText w:val="•"/>
      <w:lvlJc w:val="left"/>
      <w:pPr>
        <w:ind w:left="5230" w:hanging="540"/>
      </w:pPr>
      <w:rPr>
        <w:rFonts w:hint="default"/>
      </w:rPr>
    </w:lvl>
    <w:lvl w:ilvl="6">
      <w:numFmt w:val="bullet"/>
      <w:lvlText w:val="•"/>
      <w:lvlJc w:val="left"/>
      <w:pPr>
        <w:ind w:left="6100" w:hanging="540"/>
      </w:pPr>
      <w:rPr>
        <w:rFonts w:hint="default"/>
      </w:rPr>
    </w:lvl>
    <w:lvl w:ilvl="7">
      <w:numFmt w:val="bullet"/>
      <w:lvlText w:val="•"/>
      <w:lvlJc w:val="left"/>
      <w:pPr>
        <w:ind w:left="6970" w:hanging="540"/>
      </w:pPr>
      <w:rPr>
        <w:rFonts w:hint="default"/>
      </w:rPr>
    </w:lvl>
    <w:lvl w:ilvl="8">
      <w:numFmt w:val="bullet"/>
      <w:lvlText w:val="•"/>
      <w:lvlJc w:val="left"/>
      <w:pPr>
        <w:ind w:left="7840" w:hanging="540"/>
      </w:pPr>
      <w:rPr>
        <w:rFonts w:hint="default"/>
      </w:rPr>
    </w:lvl>
  </w:abstractNum>
  <w:abstractNum w:abstractNumId="6" w15:restartNumberingAfterBreak="0">
    <w:nsid w:val="46B3178F"/>
    <w:multiLevelType w:val="hybridMultilevel"/>
    <w:tmpl w:val="D7AC5CFA"/>
    <w:lvl w:ilvl="0" w:tplc="756082F0">
      <w:start w:val="1"/>
      <w:numFmt w:val="lowerLetter"/>
      <w:lvlText w:val="(%1)"/>
      <w:lvlJc w:val="left"/>
      <w:pPr>
        <w:ind w:left="1540" w:hanging="720"/>
      </w:pPr>
      <w:rPr>
        <w:rFonts w:ascii="Times New Roman" w:eastAsia="Times New Roman" w:hAnsi="Times New Roman" w:cs="Times New Roman" w:hint="default"/>
        <w:w w:val="100"/>
        <w:sz w:val="24"/>
        <w:szCs w:val="24"/>
      </w:rPr>
    </w:lvl>
    <w:lvl w:ilvl="1" w:tplc="A66E522C">
      <w:numFmt w:val="bullet"/>
      <w:lvlText w:val="•"/>
      <w:lvlJc w:val="left"/>
      <w:pPr>
        <w:ind w:left="2344" w:hanging="720"/>
      </w:pPr>
      <w:rPr>
        <w:rFonts w:hint="default"/>
      </w:rPr>
    </w:lvl>
    <w:lvl w:ilvl="2" w:tplc="E674740A">
      <w:numFmt w:val="bullet"/>
      <w:lvlText w:val="•"/>
      <w:lvlJc w:val="left"/>
      <w:pPr>
        <w:ind w:left="3148" w:hanging="720"/>
      </w:pPr>
      <w:rPr>
        <w:rFonts w:hint="default"/>
      </w:rPr>
    </w:lvl>
    <w:lvl w:ilvl="3" w:tplc="1F1015F4">
      <w:numFmt w:val="bullet"/>
      <w:lvlText w:val="•"/>
      <w:lvlJc w:val="left"/>
      <w:pPr>
        <w:ind w:left="3952" w:hanging="720"/>
      </w:pPr>
      <w:rPr>
        <w:rFonts w:hint="default"/>
      </w:rPr>
    </w:lvl>
    <w:lvl w:ilvl="4" w:tplc="AC3034F0">
      <w:numFmt w:val="bullet"/>
      <w:lvlText w:val="•"/>
      <w:lvlJc w:val="left"/>
      <w:pPr>
        <w:ind w:left="4756" w:hanging="720"/>
      </w:pPr>
      <w:rPr>
        <w:rFonts w:hint="default"/>
      </w:rPr>
    </w:lvl>
    <w:lvl w:ilvl="5" w:tplc="64A80156">
      <w:numFmt w:val="bullet"/>
      <w:lvlText w:val="•"/>
      <w:lvlJc w:val="left"/>
      <w:pPr>
        <w:ind w:left="5560" w:hanging="720"/>
      </w:pPr>
      <w:rPr>
        <w:rFonts w:hint="default"/>
      </w:rPr>
    </w:lvl>
    <w:lvl w:ilvl="6" w:tplc="91026080">
      <w:numFmt w:val="bullet"/>
      <w:lvlText w:val="•"/>
      <w:lvlJc w:val="left"/>
      <w:pPr>
        <w:ind w:left="6364" w:hanging="720"/>
      </w:pPr>
      <w:rPr>
        <w:rFonts w:hint="default"/>
      </w:rPr>
    </w:lvl>
    <w:lvl w:ilvl="7" w:tplc="8D2A0332">
      <w:numFmt w:val="bullet"/>
      <w:lvlText w:val="•"/>
      <w:lvlJc w:val="left"/>
      <w:pPr>
        <w:ind w:left="7168" w:hanging="720"/>
      </w:pPr>
      <w:rPr>
        <w:rFonts w:hint="default"/>
      </w:rPr>
    </w:lvl>
    <w:lvl w:ilvl="8" w:tplc="090202DE">
      <w:numFmt w:val="bullet"/>
      <w:lvlText w:val="•"/>
      <w:lvlJc w:val="left"/>
      <w:pPr>
        <w:ind w:left="7972" w:hanging="720"/>
      </w:pPr>
      <w:rPr>
        <w:rFonts w:hint="default"/>
      </w:rPr>
    </w:lvl>
  </w:abstractNum>
  <w:abstractNum w:abstractNumId="7" w15:restartNumberingAfterBreak="0">
    <w:nsid w:val="484B1A04"/>
    <w:multiLevelType w:val="multilevel"/>
    <w:tmpl w:val="045691F6"/>
    <w:lvl w:ilvl="0">
      <w:start w:val="9"/>
      <w:numFmt w:val="decimal"/>
      <w:lvlText w:val="%1"/>
      <w:lvlJc w:val="left"/>
      <w:pPr>
        <w:ind w:left="524" w:hanging="420"/>
      </w:pPr>
      <w:rPr>
        <w:rFonts w:hint="default"/>
      </w:rPr>
    </w:lvl>
    <w:lvl w:ilvl="1">
      <w:start w:val="6"/>
      <w:numFmt w:val="decimal"/>
      <w:lvlText w:val="%1.12"/>
      <w:lvlJc w:val="left"/>
      <w:pPr>
        <w:ind w:left="1876" w:hanging="256"/>
      </w:pPr>
      <w:rPr>
        <w:rFonts w:ascii="Times New Roman" w:eastAsia="Times New Roman" w:hAnsi="Times New Roman" w:cs="Times New Roman" w:hint="default"/>
        <w:b/>
        <w:bCs/>
        <w:spacing w:val="-5"/>
        <w:w w:val="99"/>
        <w:sz w:val="24"/>
        <w:szCs w:val="24"/>
      </w:rPr>
    </w:lvl>
    <w:lvl w:ilvl="2">
      <w:start w:val="1"/>
      <w:numFmt w:val="decimal"/>
      <w:lvlText w:val="%3."/>
      <w:lvlJc w:val="left"/>
      <w:pPr>
        <w:ind w:left="1540" w:hanging="720"/>
      </w:pPr>
      <w:rPr>
        <w:rFonts w:ascii="Times New Roman" w:eastAsia="Times New Roman" w:hAnsi="Times New Roman" w:cs="Times New Roman" w:hint="default"/>
        <w:spacing w:val="-9"/>
        <w:w w:val="99"/>
        <w:sz w:val="24"/>
        <w:szCs w:val="24"/>
      </w:rPr>
    </w:lvl>
    <w:lvl w:ilvl="3">
      <w:numFmt w:val="bullet"/>
      <w:lvlText w:val="•"/>
      <w:lvlJc w:val="left"/>
      <w:pPr>
        <w:ind w:left="2545" w:hanging="720"/>
      </w:pPr>
      <w:rPr>
        <w:rFonts w:hint="default"/>
      </w:rPr>
    </w:lvl>
    <w:lvl w:ilvl="4">
      <w:numFmt w:val="bullet"/>
      <w:lvlText w:val="•"/>
      <w:lvlJc w:val="left"/>
      <w:pPr>
        <w:ind w:left="3550" w:hanging="720"/>
      </w:pPr>
      <w:rPr>
        <w:rFonts w:hint="default"/>
      </w:rPr>
    </w:lvl>
    <w:lvl w:ilvl="5">
      <w:numFmt w:val="bullet"/>
      <w:lvlText w:val="•"/>
      <w:lvlJc w:val="left"/>
      <w:pPr>
        <w:ind w:left="4555" w:hanging="720"/>
      </w:pPr>
      <w:rPr>
        <w:rFonts w:hint="default"/>
      </w:rPr>
    </w:lvl>
    <w:lvl w:ilvl="6">
      <w:numFmt w:val="bullet"/>
      <w:lvlText w:val="•"/>
      <w:lvlJc w:val="left"/>
      <w:pPr>
        <w:ind w:left="5560" w:hanging="720"/>
      </w:pPr>
      <w:rPr>
        <w:rFonts w:hint="default"/>
      </w:rPr>
    </w:lvl>
    <w:lvl w:ilvl="7">
      <w:numFmt w:val="bullet"/>
      <w:lvlText w:val="•"/>
      <w:lvlJc w:val="left"/>
      <w:pPr>
        <w:ind w:left="6565" w:hanging="720"/>
      </w:pPr>
      <w:rPr>
        <w:rFonts w:hint="default"/>
      </w:rPr>
    </w:lvl>
    <w:lvl w:ilvl="8">
      <w:numFmt w:val="bullet"/>
      <w:lvlText w:val="•"/>
      <w:lvlJc w:val="left"/>
      <w:pPr>
        <w:ind w:left="7570" w:hanging="720"/>
      </w:pPr>
      <w:rPr>
        <w:rFonts w:hint="default"/>
      </w:rPr>
    </w:lvl>
  </w:abstractNum>
  <w:abstractNum w:abstractNumId="8" w15:restartNumberingAfterBreak="0">
    <w:nsid w:val="4B5251B5"/>
    <w:multiLevelType w:val="multilevel"/>
    <w:tmpl w:val="9DD44E3E"/>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9" w15:restartNumberingAfterBreak="0">
    <w:nsid w:val="4BB64145"/>
    <w:multiLevelType w:val="hybridMultilevel"/>
    <w:tmpl w:val="82D22324"/>
    <w:lvl w:ilvl="0" w:tplc="638EC06A">
      <w:start w:val="1"/>
      <w:numFmt w:val="decimal"/>
      <w:lvlText w:val="(%1)"/>
      <w:lvlJc w:val="left"/>
      <w:pPr>
        <w:ind w:left="1540" w:hanging="720"/>
      </w:pPr>
      <w:rPr>
        <w:rFonts w:ascii="Times New Roman" w:eastAsia="Times New Roman" w:hAnsi="Times New Roman" w:cs="Times New Roman" w:hint="default"/>
        <w:spacing w:val="-13"/>
        <w:w w:val="99"/>
        <w:sz w:val="24"/>
        <w:szCs w:val="24"/>
      </w:rPr>
    </w:lvl>
    <w:lvl w:ilvl="1" w:tplc="326CB736">
      <w:numFmt w:val="bullet"/>
      <w:lvlText w:val="•"/>
      <w:lvlJc w:val="left"/>
      <w:pPr>
        <w:ind w:left="2344" w:hanging="720"/>
      </w:pPr>
      <w:rPr>
        <w:rFonts w:hint="default"/>
      </w:rPr>
    </w:lvl>
    <w:lvl w:ilvl="2" w:tplc="2C58934A">
      <w:numFmt w:val="bullet"/>
      <w:lvlText w:val="•"/>
      <w:lvlJc w:val="left"/>
      <w:pPr>
        <w:ind w:left="3148" w:hanging="720"/>
      </w:pPr>
      <w:rPr>
        <w:rFonts w:hint="default"/>
      </w:rPr>
    </w:lvl>
    <w:lvl w:ilvl="3" w:tplc="FFCCE8C6">
      <w:numFmt w:val="bullet"/>
      <w:lvlText w:val="•"/>
      <w:lvlJc w:val="left"/>
      <w:pPr>
        <w:ind w:left="3952" w:hanging="720"/>
      </w:pPr>
      <w:rPr>
        <w:rFonts w:hint="default"/>
      </w:rPr>
    </w:lvl>
    <w:lvl w:ilvl="4" w:tplc="B84E2EE4">
      <w:numFmt w:val="bullet"/>
      <w:lvlText w:val="•"/>
      <w:lvlJc w:val="left"/>
      <w:pPr>
        <w:ind w:left="4756" w:hanging="720"/>
      </w:pPr>
      <w:rPr>
        <w:rFonts w:hint="default"/>
      </w:rPr>
    </w:lvl>
    <w:lvl w:ilvl="5" w:tplc="4F247DE0">
      <w:numFmt w:val="bullet"/>
      <w:lvlText w:val="•"/>
      <w:lvlJc w:val="left"/>
      <w:pPr>
        <w:ind w:left="5560" w:hanging="720"/>
      </w:pPr>
      <w:rPr>
        <w:rFonts w:hint="default"/>
      </w:rPr>
    </w:lvl>
    <w:lvl w:ilvl="6" w:tplc="73E0D326">
      <w:numFmt w:val="bullet"/>
      <w:lvlText w:val="•"/>
      <w:lvlJc w:val="left"/>
      <w:pPr>
        <w:ind w:left="6364" w:hanging="720"/>
      </w:pPr>
      <w:rPr>
        <w:rFonts w:hint="default"/>
      </w:rPr>
    </w:lvl>
    <w:lvl w:ilvl="7" w:tplc="0464B764">
      <w:numFmt w:val="bullet"/>
      <w:lvlText w:val="•"/>
      <w:lvlJc w:val="left"/>
      <w:pPr>
        <w:ind w:left="7168" w:hanging="720"/>
      </w:pPr>
      <w:rPr>
        <w:rFonts w:hint="default"/>
      </w:rPr>
    </w:lvl>
    <w:lvl w:ilvl="8" w:tplc="00F4CE44">
      <w:numFmt w:val="bullet"/>
      <w:lvlText w:val="•"/>
      <w:lvlJc w:val="left"/>
      <w:pPr>
        <w:ind w:left="7972" w:hanging="720"/>
      </w:pPr>
      <w:rPr>
        <w:rFonts w:hint="default"/>
      </w:rPr>
    </w:lvl>
  </w:abstractNum>
  <w:abstractNum w:abstractNumId="10" w15:restartNumberingAfterBreak="0">
    <w:nsid w:val="510862F1"/>
    <w:multiLevelType w:val="hybridMultilevel"/>
    <w:tmpl w:val="234ED6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51D7C48"/>
    <w:multiLevelType w:val="hybridMultilevel"/>
    <w:tmpl w:val="F4E82B84"/>
    <w:lvl w:ilvl="0" w:tplc="CD688B76">
      <w:start w:val="1"/>
      <w:numFmt w:val="decimal"/>
      <w:lvlText w:val="%1."/>
      <w:lvlJc w:val="left"/>
      <w:pPr>
        <w:ind w:left="2160" w:hanging="72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13B52E5"/>
    <w:multiLevelType w:val="hybridMultilevel"/>
    <w:tmpl w:val="22AEBC0E"/>
    <w:lvl w:ilvl="0" w:tplc="A22E61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CDC79B5"/>
    <w:multiLevelType w:val="hybridMultilevel"/>
    <w:tmpl w:val="AA0AEEA2"/>
    <w:lvl w:ilvl="0" w:tplc="8340D320">
      <w:start w:val="1"/>
      <w:numFmt w:val="decimal"/>
      <w:lvlText w:val="%1."/>
      <w:lvlJc w:val="left"/>
      <w:pPr>
        <w:ind w:left="100" w:hanging="300"/>
      </w:pPr>
      <w:rPr>
        <w:rFonts w:ascii="Times New Roman" w:eastAsia="Times New Roman" w:hAnsi="Times New Roman" w:cs="Times New Roman" w:hint="default"/>
        <w:b/>
        <w:bCs/>
        <w:spacing w:val="-12"/>
        <w:w w:val="99"/>
        <w:sz w:val="24"/>
        <w:szCs w:val="24"/>
      </w:rPr>
    </w:lvl>
    <w:lvl w:ilvl="1" w:tplc="24786792">
      <w:numFmt w:val="bullet"/>
      <w:lvlText w:val="•"/>
      <w:lvlJc w:val="left"/>
      <w:pPr>
        <w:ind w:left="1048" w:hanging="300"/>
      </w:pPr>
      <w:rPr>
        <w:rFonts w:hint="default"/>
      </w:rPr>
    </w:lvl>
    <w:lvl w:ilvl="2" w:tplc="C9F09878">
      <w:numFmt w:val="bullet"/>
      <w:lvlText w:val="•"/>
      <w:lvlJc w:val="left"/>
      <w:pPr>
        <w:ind w:left="1996" w:hanging="300"/>
      </w:pPr>
      <w:rPr>
        <w:rFonts w:hint="default"/>
      </w:rPr>
    </w:lvl>
    <w:lvl w:ilvl="3" w:tplc="CCD46ABC">
      <w:numFmt w:val="bullet"/>
      <w:lvlText w:val="•"/>
      <w:lvlJc w:val="left"/>
      <w:pPr>
        <w:ind w:left="2944" w:hanging="300"/>
      </w:pPr>
      <w:rPr>
        <w:rFonts w:hint="default"/>
      </w:rPr>
    </w:lvl>
    <w:lvl w:ilvl="4" w:tplc="40A0B9E4">
      <w:numFmt w:val="bullet"/>
      <w:lvlText w:val="•"/>
      <w:lvlJc w:val="left"/>
      <w:pPr>
        <w:ind w:left="3892" w:hanging="300"/>
      </w:pPr>
      <w:rPr>
        <w:rFonts w:hint="default"/>
      </w:rPr>
    </w:lvl>
    <w:lvl w:ilvl="5" w:tplc="DF44BA9A">
      <w:numFmt w:val="bullet"/>
      <w:lvlText w:val="•"/>
      <w:lvlJc w:val="left"/>
      <w:pPr>
        <w:ind w:left="4840" w:hanging="300"/>
      </w:pPr>
      <w:rPr>
        <w:rFonts w:hint="default"/>
      </w:rPr>
    </w:lvl>
    <w:lvl w:ilvl="6" w:tplc="28EEACD6">
      <w:numFmt w:val="bullet"/>
      <w:lvlText w:val="•"/>
      <w:lvlJc w:val="left"/>
      <w:pPr>
        <w:ind w:left="5788" w:hanging="300"/>
      </w:pPr>
      <w:rPr>
        <w:rFonts w:hint="default"/>
      </w:rPr>
    </w:lvl>
    <w:lvl w:ilvl="7" w:tplc="281E50E0">
      <w:numFmt w:val="bullet"/>
      <w:lvlText w:val="•"/>
      <w:lvlJc w:val="left"/>
      <w:pPr>
        <w:ind w:left="6736" w:hanging="300"/>
      </w:pPr>
      <w:rPr>
        <w:rFonts w:hint="default"/>
      </w:rPr>
    </w:lvl>
    <w:lvl w:ilvl="8" w:tplc="FF0AEBB2">
      <w:numFmt w:val="bullet"/>
      <w:lvlText w:val="•"/>
      <w:lvlJc w:val="left"/>
      <w:pPr>
        <w:ind w:left="7684" w:hanging="300"/>
      </w:pPr>
      <w:rPr>
        <w:rFonts w:hint="default"/>
      </w:rPr>
    </w:lvl>
  </w:abstractNum>
  <w:abstractNum w:abstractNumId="14" w15:restartNumberingAfterBreak="0">
    <w:nsid w:val="6EEB716F"/>
    <w:multiLevelType w:val="hybridMultilevel"/>
    <w:tmpl w:val="C8F4E2BE"/>
    <w:lvl w:ilvl="0" w:tplc="99F82B9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F27A72"/>
    <w:multiLevelType w:val="hybridMultilevel"/>
    <w:tmpl w:val="50E01EB0"/>
    <w:lvl w:ilvl="0" w:tplc="67CC98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FE4253E"/>
    <w:multiLevelType w:val="multilevel"/>
    <w:tmpl w:val="102CA436"/>
    <w:lvl w:ilvl="0">
      <w:start w:val="17"/>
      <w:numFmt w:val="decimal"/>
      <w:lvlText w:val="%1"/>
      <w:lvlJc w:val="left"/>
      <w:pPr>
        <w:ind w:left="540" w:hanging="540"/>
      </w:pPr>
      <w:rPr>
        <w:rFonts w:hint="default"/>
      </w:rPr>
    </w:lvl>
    <w:lvl w:ilvl="1">
      <w:start w:val="22"/>
      <w:numFmt w:val="decimal"/>
      <w:lvlText w:val="%1.%2"/>
      <w:lvlJc w:val="left"/>
      <w:pPr>
        <w:ind w:left="2340" w:hanging="54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7" w15:restartNumberingAfterBreak="0">
    <w:nsid w:val="7FF2409F"/>
    <w:multiLevelType w:val="hybridMultilevel"/>
    <w:tmpl w:val="74AEC14E"/>
    <w:lvl w:ilvl="0" w:tplc="5A7821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70807952">
    <w:abstractNumId w:val="8"/>
  </w:num>
  <w:num w:numId="2" w16cid:durableId="2112436109">
    <w:abstractNumId w:val="0"/>
  </w:num>
  <w:num w:numId="3" w16cid:durableId="1119107638">
    <w:abstractNumId w:val="2"/>
  </w:num>
  <w:num w:numId="4" w16cid:durableId="1307078575">
    <w:abstractNumId w:val="12"/>
  </w:num>
  <w:num w:numId="5" w16cid:durableId="690956781">
    <w:abstractNumId w:val="10"/>
  </w:num>
  <w:num w:numId="6" w16cid:durableId="1498035859">
    <w:abstractNumId w:val="1"/>
  </w:num>
  <w:num w:numId="7" w16cid:durableId="278412168">
    <w:abstractNumId w:val="17"/>
  </w:num>
  <w:num w:numId="8" w16cid:durableId="1491171852">
    <w:abstractNumId w:val="15"/>
  </w:num>
  <w:num w:numId="9" w16cid:durableId="97330965">
    <w:abstractNumId w:val="6"/>
  </w:num>
  <w:num w:numId="10" w16cid:durableId="1913736727">
    <w:abstractNumId w:val="7"/>
  </w:num>
  <w:num w:numId="11" w16cid:durableId="961571553">
    <w:abstractNumId w:val="3"/>
  </w:num>
  <w:num w:numId="12" w16cid:durableId="1148983626">
    <w:abstractNumId w:val="13"/>
  </w:num>
  <w:num w:numId="13" w16cid:durableId="1758209689">
    <w:abstractNumId w:val="9"/>
  </w:num>
  <w:num w:numId="14" w16cid:durableId="1025473959">
    <w:abstractNumId w:val="14"/>
  </w:num>
  <w:num w:numId="15" w16cid:durableId="1413429274">
    <w:abstractNumId w:val="11"/>
  </w:num>
  <w:num w:numId="16" w16cid:durableId="214657989">
    <w:abstractNumId w:val="4"/>
  </w:num>
  <w:num w:numId="17" w16cid:durableId="614219342">
    <w:abstractNumId w:val="5"/>
  </w:num>
  <w:num w:numId="18" w16cid:durableId="7012447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CD7"/>
    <w:rsid w:val="00007EFB"/>
    <w:rsid w:val="00011BE1"/>
    <w:rsid w:val="00013716"/>
    <w:rsid w:val="00026A7C"/>
    <w:rsid w:val="00030A67"/>
    <w:rsid w:val="000324A7"/>
    <w:rsid w:val="00033B9C"/>
    <w:rsid w:val="00033D65"/>
    <w:rsid w:val="00033EB9"/>
    <w:rsid w:val="00035F94"/>
    <w:rsid w:val="00045AE2"/>
    <w:rsid w:val="00046A0C"/>
    <w:rsid w:val="0005010E"/>
    <w:rsid w:val="00052E93"/>
    <w:rsid w:val="00055699"/>
    <w:rsid w:val="00057DBF"/>
    <w:rsid w:val="00060129"/>
    <w:rsid w:val="0006064C"/>
    <w:rsid w:val="00067CE7"/>
    <w:rsid w:val="00074A08"/>
    <w:rsid w:val="00080483"/>
    <w:rsid w:val="00090561"/>
    <w:rsid w:val="00091376"/>
    <w:rsid w:val="00095C33"/>
    <w:rsid w:val="000A06FE"/>
    <w:rsid w:val="000A337A"/>
    <w:rsid w:val="000A7855"/>
    <w:rsid w:val="000A7C5A"/>
    <w:rsid w:val="000B447D"/>
    <w:rsid w:val="000B70C8"/>
    <w:rsid w:val="000C514A"/>
    <w:rsid w:val="000C5EAE"/>
    <w:rsid w:val="000D0F28"/>
    <w:rsid w:val="000D51C7"/>
    <w:rsid w:val="000D51E3"/>
    <w:rsid w:val="000D6B73"/>
    <w:rsid w:val="000D6C1C"/>
    <w:rsid w:val="000E1173"/>
    <w:rsid w:val="000E3139"/>
    <w:rsid w:val="000E7F54"/>
    <w:rsid w:val="000F1393"/>
    <w:rsid w:val="000F49AD"/>
    <w:rsid w:val="000F55A9"/>
    <w:rsid w:val="000F7DD8"/>
    <w:rsid w:val="001007C2"/>
    <w:rsid w:val="00104A69"/>
    <w:rsid w:val="00104CF9"/>
    <w:rsid w:val="00106E72"/>
    <w:rsid w:val="00113199"/>
    <w:rsid w:val="00115816"/>
    <w:rsid w:val="00120380"/>
    <w:rsid w:val="001255DB"/>
    <w:rsid w:val="001279D1"/>
    <w:rsid w:val="001327E1"/>
    <w:rsid w:val="0013409D"/>
    <w:rsid w:val="00135045"/>
    <w:rsid w:val="00137962"/>
    <w:rsid w:val="001426C9"/>
    <w:rsid w:val="00142840"/>
    <w:rsid w:val="001442EC"/>
    <w:rsid w:val="00145D74"/>
    <w:rsid w:val="0015107E"/>
    <w:rsid w:val="0015267E"/>
    <w:rsid w:val="00155C7B"/>
    <w:rsid w:val="00160D1E"/>
    <w:rsid w:val="00170A6A"/>
    <w:rsid w:val="001741E1"/>
    <w:rsid w:val="00176376"/>
    <w:rsid w:val="00177034"/>
    <w:rsid w:val="001776F6"/>
    <w:rsid w:val="00192ACD"/>
    <w:rsid w:val="001940D2"/>
    <w:rsid w:val="0019446F"/>
    <w:rsid w:val="001973F3"/>
    <w:rsid w:val="00197473"/>
    <w:rsid w:val="0019782A"/>
    <w:rsid w:val="00197C8B"/>
    <w:rsid w:val="001A0522"/>
    <w:rsid w:val="001A12F3"/>
    <w:rsid w:val="001A2CD3"/>
    <w:rsid w:val="001A44D1"/>
    <w:rsid w:val="001A599F"/>
    <w:rsid w:val="001A731D"/>
    <w:rsid w:val="001B08B2"/>
    <w:rsid w:val="001B2FAD"/>
    <w:rsid w:val="001B574A"/>
    <w:rsid w:val="001B65D2"/>
    <w:rsid w:val="001B776E"/>
    <w:rsid w:val="001C05F3"/>
    <w:rsid w:val="001C1D68"/>
    <w:rsid w:val="001D04E0"/>
    <w:rsid w:val="001D23F7"/>
    <w:rsid w:val="001D31FC"/>
    <w:rsid w:val="001D64F2"/>
    <w:rsid w:val="001E1AF4"/>
    <w:rsid w:val="001E5965"/>
    <w:rsid w:val="001F009B"/>
    <w:rsid w:val="001F32D7"/>
    <w:rsid w:val="0020002F"/>
    <w:rsid w:val="00203C7D"/>
    <w:rsid w:val="002213C7"/>
    <w:rsid w:val="00222CC3"/>
    <w:rsid w:val="00223463"/>
    <w:rsid w:val="00225065"/>
    <w:rsid w:val="0022645B"/>
    <w:rsid w:val="002338C3"/>
    <w:rsid w:val="00240080"/>
    <w:rsid w:val="00240C44"/>
    <w:rsid w:val="00243123"/>
    <w:rsid w:val="00245144"/>
    <w:rsid w:val="00250B52"/>
    <w:rsid w:val="00254915"/>
    <w:rsid w:val="00266AAB"/>
    <w:rsid w:val="002675F3"/>
    <w:rsid w:val="0027387C"/>
    <w:rsid w:val="0027401F"/>
    <w:rsid w:val="00277692"/>
    <w:rsid w:val="002779D0"/>
    <w:rsid w:val="002805C2"/>
    <w:rsid w:val="00280623"/>
    <w:rsid w:val="002811F4"/>
    <w:rsid w:val="002850F1"/>
    <w:rsid w:val="00286FD6"/>
    <w:rsid w:val="00292402"/>
    <w:rsid w:val="002A1621"/>
    <w:rsid w:val="002A1F13"/>
    <w:rsid w:val="002A2692"/>
    <w:rsid w:val="002A3FAF"/>
    <w:rsid w:val="002A7746"/>
    <w:rsid w:val="002B0859"/>
    <w:rsid w:val="002B09F2"/>
    <w:rsid w:val="002B1D90"/>
    <w:rsid w:val="002B3C9D"/>
    <w:rsid w:val="002B66F3"/>
    <w:rsid w:val="002B728E"/>
    <w:rsid w:val="002C0068"/>
    <w:rsid w:val="002C511B"/>
    <w:rsid w:val="002D1F76"/>
    <w:rsid w:val="002D3473"/>
    <w:rsid w:val="002D3E69"/>
    <w:rsid w:val="002E1434"/>
    <w:rsid w:val="002E1FCF"/>
    <w:rsid w:val="002E554E"/>
    <w:rsid w:val="002E58ED"/>
    <w:rsid w:val="002F1CAD"/>
    <w:rsid w:val="00301A78"/>
    <w:rsid w:val="00301E45"/>
    <w:rsid w:val="00304C75"/>
    <w:rsid w:val="00304EF5"/>
    <w:rsid w:val="003055B7"/>
    <w:rsid w:val="00305894"/>
    <w:rsid w:val="00306BDB"/>
    <w:rsid w:val="00307F19"/>
    <w:rsid w:val="00310AD7"/>
    <w:rsid w:val="0031541F"/>
    <w:rsid w:val="00315AE1"/>
    <w:rsid w:val="00315B5D"/>
    <w:rsid w:val="00317DA8"/>
    <w:rsid w:val="003320CA"/>
    <w:rsid w:val="0033625C"/>
    <w:rsid w:val="00340019"/>
    <w:rsid w:val="00351408"/>
    <w:rsid w:val="0035216F"/>
    <w:rsid w:val="00352D49"/>
    <w:rsid w:val="00352F4B"/>
    <w:rsid w:val="00356384"/>
    <w:rsid w:val="00361EB2"/>
    <w:rsid w:val="00363DDF"/>
    <w:rsid w:val="00365050"/>
    <w:rsid w:val="00366940"/>
    <w:rsid w:val="00372617"/>
    <w:rsid w:val="003810EF"/>
    <w:rsid w:val="00381C17"/>
    <w:rsid w:val="0038616A"/>
    <w:rsid w:val="003911DF"/>
    <w:rsid w:val="003919BD"/>
    <w:rsid w:val="00391C3D"/>
    <w:rsid w:val="003964B4"/>
    <w:rsid w:val="003A034E"/>
    <w:rsid w:val="003A4A9F"/>
    <w:rsid w:val="003A5FFD"/>
    <w:rsid w:val="003A6B46"/>
    <w:rsid w:val="003A73CA"/>
    <w:rsid w:val="003B01C3"/>
    <w:rsid w:val="003B2FF5"/>
    <w:rsid w:val="003B55F8"/>
    <w:rsid w:val="003B64AB"/>
    <w:rsid w:val="003C1C6D"/>
    <w:rsid w:val="003C3009"/>
    <w:rsid w:val="003C5BDE"/>
    <w:rsid w:val="003C5C2F"/>
    <w:rsid w:val="003D212E"/>
    <w:rsid w:val="003D48C3"/>
    <w:rsid w:val="003D682E"/>
    <w:rsid w:val="003D7092"/>
    <w:rsid w:val="003E3B69"/>
    <w:rsid w:val="003E5741"/>
    <w:rsid w:val="003E5CD7"/>
    <w:rsid w:val="003E6E52"/>
    <w:rsid w:val="003F10D0"/>
    <w:rsid w:val="003F558D"/>
    <w:rsid w:val="00404AED"/>
    <w:rsid w:val="004124B2"/>
    <w:rsid w:val="004153D5"/>
    <w:rsid w:val="00415784"/>
    <w:rsid w:val="00415B19"/>
    <w:rsid w:val="0041682F"/>
    <w:rsid w:val="004212B4"/>
    <w:rsid w:val="00424F66"/>
    <w:rsid w:val="0042589D"/>
    <w:rsid w:val="004272A6"/>
    <w:rsid w:val="004277B3"/>
    <w:rsid w:val="00432687"/>
    <w:rsid w:val="00435C27"/>
    <w:rsid w:val="00441E89"/>
    <w:rsid w:val="00450287"/>
    <w:rsid w:val="00452033"/>
    <w:rsid w:val="0045373A"/>
    <w:rsid w:val="00454361"/>
    <w:rsid w:val="00455B81"/>
    <w:rsid w:val="004569A4"/>
    <w:rsid w:val="00464C2E"/>
    <w:rsid w:val="004747F3"/>
    <w:rsid w:val="0048112D"/>
    <w:rsid w:val="004838D3"/>
    <w:rsid w:val="00486255"/>
    <w:rsid w:val="00490ADC"/>
    <w:rsid w:val="00490FD7"/>
    <w:rsid w:val="00492076"/>
    <w:rsid w:val="004934DB"/>
    <w:rsid w:val="00496196"/>
    <w:rsid w:val="004A0CE5"/>
    <w:rsid w:val="004A232A"/>
    <w:rsid w:val="004A4D6C"/>
    <w:rsid w:val="004A6A24"/>
    <w:rsid w:val="004B12C5"/>
    <w:rsid w:val="004B14FB"/>
    <w:rsid w:val="004B1F74"/>
    <w:rsid w:val="004C16AB"/>
    <w:rsid w:val="004C2377"/>
    <w:rsid w:val="004C5D62"/>
    <w:rsid w:val="004C6943"/>
    <w:rsid w:val="004D3A6F"/>
    <w:rsid w:val="004D4BC4"/>
    <w:rsid w:val="004D5B4F"/>
    <w:rsid w:val="004D7A2B"/>
    <w:rsid w:val="004E3028"/>
    <w:rsid w:val="004F2DA0"/>
    <w:rsid w:val="004F3325"/>
    <w:rsid w:val="004F39E6"/>
    <w:rsid w:val="004F793F"/>
    <w:rsid w:val="00503C2A"/>
    <w:rsid w:val="00504029"/>
    <w:rsid w:val="0050434C"/>
    <w:rsid w:val="00507387"/>
    <w:rsid w:val="00507918"/>
    <w:rsid w:val="00517316"/>
    <w:rsid w:val="005228CF"/>
    <w:rsid w:val="00522ACE"/>
    <w:rsid w:val="0052361F"/>
    <w:rsid w:val="00531D0E"/>
    <w:rsid w:val="005328CF"/>
    <w:rsid w:val="00532AF0"/>
    <w:rsid w:val="00545512"/>
    <w:rsid w:val="00550F11"/>
    <w:rsid w:val="0055265D"/>
    <w:rsid w:val="00553523"/>
    <w:rsid w:val="0056102D"/>
    <w:rsid w:val="00565E37"/>
    <w:rsid w:val="005663FC"/>
    <w:rsid w:val="0056685D"/>
    <w:rsid w:val="00571BE9"/>
    <w:rsid w:val="005721C4"/>
    <w:rsid w:val="0058444B"/>
    <w:rsid w:val="0058487E"/>
    <w:rsid w:val="005868E0"/>
    <w:rsid w:val="00590001"/>
    <w:rsid w:val="005A0206"/>
    <w:rsid w:val="005A6CEB"/>
    <w:rsid w:val="005B0AB0"/>
    <w:rsid w:val="005B1CCE"/>
    <w:rsid w:val="005B2A44"/>
    <w:rsid w:val="005B75F7"/>
    <w:rsid w:val="005B7AF8"/>
    <w:rsid w:val="005C1103"/>
    <w:rsid w:val="005C3C87"/>
    <w:rsid w:val="005D0E94"/>
    <w:rsid w:val="005D1DB0"/>
    <w:rsid w:val="005D27A2"/>
    <w:rsid w:val="005E43A0"/>
    <w:rsid w:val="005E5766"/>
    <w:rsid w:val="005E6F8C"/>
    <w:rsid w:val="005E7632"/>
    <w:rsid w:val="005E7FC8"/>
    <w:rsid w:val="005F1D45"/>
    <w:rsid w:val="005F29DA"/>
    <w:rsid w:val="005F3468"/>
    <w:rsid w:val="005F6EA2"/>
    <w:rsid w:val="00600001"/>
    <w:rsid w:val="0060009E"/>
    <w:rsid w:val="00600A38"/>
    <w:rsid w:val="00603D38"/>
    <w:rsid w:val="00604299"/>
    <w:rsid w:val="0060759C"/>
    <w:rsid w:val="00612075"/>
    <w:rsid w:val="00613B02"/>
    <w:rsid w:val="006172F2"/>
    <w:rsid w:val="00622F00"/>
    <w:rsid w:val="006329B7"/>
    <w:rsid w:val="00633F88"/>
    <w:rsid w:val="00634049"/>
    <w:rsid w:val="006340B6"/>
    <w:rsid w:val="00635AE4"/>
    <w:rsid w:val="00637750"/>
    <w:rsid w:val="00637CC8"/>
    <w:rsid w:val="00642190"/>
    <w:rsid w:val="006422A0"/>
    <w:rsid w:val="00644AB3"/>
    <w:rsid w:val="00644FC1"/>
    <w:rsid w:val="00646BCE"/>
    <w:rsid w:val="00650E15"/>
    <w:rsid w:val="006561DF"/>
    <w:rsid w:val="00662288"/>
    <w:rsid w:val="00671B7F"/>
    <w:rsid w:val="00672F4A"/>
    <w:rsid w:val="00673357"/>
    <w:rsid w:val="00675C35"/>
    <w:rsid w:val="00681EF3"/>
    <w:rsid w:val="006827F8"/>
    <w:rsid w:val="00684C0D"/>
    <w:rsid w:val="00684EB3"/>
    <w:rsid w:val="00687E02"/>
    <w:rsid w:val="00691786"/>
    <w:rsid w:val="006964C1"/>
    <w:rsid w:val="006A4968"/>
    <w:rsid w:val="006A4CD7"/>
    <w:rsid w:val="006A52A1"/>
    <w:rsid w:val="006A5328"/>
    <w:rsid w:val="006A543F"/>
    <w:rsid w:val="006A5DE5"/>
    <w:rsid w:val="006B250F"/>
    <w:rsid w:val="006B3190"/>
    <w:rsid w:val="006B4725"/>
    <w:rsid w:val="006B594A"/>
    <w:rsid w:val="006C1EA0"/>
    <w:rsid w:val="006C7AFB"/>
    <w:rsid w:val="006D56E8"/>
    <w:rsid w:val="006E0EE1"/>
    <w:rsid w:val="006E3EC6"/>
    <w:rsid w:val="006E47A6"/>
    <w:rsid w:val="006E7654"/>
    <w:rsid w:val="006F3C46"/>
    <w:rsid w:val="006F7C25"/>
    <w:rsid w:val="00703520"/>
    <w:rsid w:val="00705C53"/>
    <w:rsid w:val="00706613"/>
    <w:rsid w:val="007106F9"/>
    <w:rsid w:val="00711209"/>
    <w:rsid w:val="00712A66"/>
    <w:rsid w:val="0071392B"/>
    <w:rsid w:val="007162E6"/>
    <w:rsid w:val="00722302"/>
    <w:rsid w:val="00722735"/>
    <w:rsid w:val="0072675B"/>
    <w:rsid w:val="00730D51"/>
    <w:rsid w:val="00732B8B"/>
    <w:rsid w:val="00734276"/>
    <w:rsid w:val="0073585E"/>
    <w:rsid w:val="00736F64"/>
    <w:rsid w:val="0074278C"/>
    <w:rsid w:val="007453CD"/>
    <w:rsid w:val="007476B8"/>
    <w:rsid w:val="00754304"/>
    <w:rsid w:val="00762CA5"/>
    <w:rsid w:val="00763BBA"/>
    <w:rsid w:val="00767E3F"/>
    <w:rsid w:val="007736F3"/>
    <w:rsid w:val="00775389"/>
    <w:rsid w:val="00775D0C"/>
    <w:rsid w:val="00777F53"/>
    <w:rsid w:val="007805F8"/>
    <w:rsid w:val="00781C62"/>
    <w:rsid w:val="0078216F"/>
    <w:rsid w:val="007833A0"/>
    <w:rsid w:val="007847B8"/>
    <w:rsid w:val="00785181"/>
    <w:rsid w:val="0079146D"/>
    <w:rsid w:val="00792E40"/>
    <w:rsid w:val="007A48DF"/>
    <w:rsid w:val="007A5BA1"/>
    <w:rsid w:val="007A6519"/>
    <w:rsid w:val="007B1C2E"/>
    <w:rsid w:val="007B4438"/>
    <w:rsid w:val="007B6382"/>
    <w:rsid w:val="007B75B7"/>
    <w:rsid w:val="007C03AF"/>
    <w:rsid w:val="007C2CBF"/>
    <w:rsid w:val="007C35D5"/>
    <w:rsid w:val="007C3D89"/>
    <w:rsid w:val="007C3FD5"/>
    <w:rsid w:val="007C6C52"/>
    <w:rsid w:val="007D0D33"/>
    <w:rsid w:val="007D27AF"/>
    <w:rsid w:val="007E2D61"/>
    <w:rsid w:val="007E4510"/>
    <w:rsid w:val="007E62C4"/>
    <w:rsid w:val="007F643A"/>
    <w:rsid w:val="00801DE7"/>
    <w:rsid w:val="00802C1E"/>
    <w:rsid w:val="008055B2"/>
    <w:rsid w:val="0080594F"/>
    <w:rsid w:val="00806CE8"/>
    <w:rsid w:val="00813A7D"/>
    <w:rsid w:val="008162F7"/>
    <w:rsid w:val="00824AE5"/>
    <w:rsid w:val="00825597"/>
    <w:rsid w:val="00825820"/>
    <w:rsid w:val="00826ED3"/>
    <w:rsid w:val="00834E1D"/>
    <w:rsid w:val="008359D1"/>
    <w:rsid w:val="00836466"/>
    <w:rsid w:val="0084035B"/>
    <w:rsid w:val="0084728A"/>
    <w:rsid w:val="008641B0"/>
    <w:rsid w:val="00864568"/>
    <w:rsid w:val="0087201A"/>
    <w:rsid w:val="00877C57"/>
    <w:rsid w:val="0088333E"/>
    <w:rsid w:val="00884DFA"/>
    <w:rsid w:val="00885B45"/>
    <w:rsid w:val="00887684"/>
    <w:rsid w:val="00887BC7"/>
    <w:rsid w:val="00887D50"/>
    <w:rsid w:val="00893907"/>
    <w:rsid w:val="008942C0"/>
    <w:rsid w:val="008942D4"/>
    <w:rsid w:val="00896F44"/>
    <w:rsid w:val="008977FC"/>
    <w:rsid w:val="008A1CC6"/>
    <w:rsid w:val="008A3CE4"/>
    <w:rsid w:val="008A3EEA"/>
    <w:rsid w:val="008A4745"/>
    <w:rsid w:val="008A5E31"/>
    <w:rsid w:val="008B1923"/>
    <w:rsid w:val="008B1A8E"/>
    <w:rsid w:val="008B2A77"/>
    <w:rsid w:val="008B2B17"/>
    <w:rsid w:val="008B48A7"/>
    <w:rsid w:val="008B5FFD"/>
    <w:rsid w:val="008B68DF"/>
    <w:rsid w:val="008C1157"/>
    <w:rsid w:val="008C1931"/>
    <w:rsid w:val="008D79ED"/>
    <w:rsid w:val="008E453F"/>
    <w:rsid w:val="008E5DC5"/>
    <w:rsid w:val="008E6290"/>
    <w:rsid w:val="008F3A1F"/>
    <w:rsid w:val="008F4008"/>
    <w:rsid w:val="008F5159"/>
    <w:rsid w:val="009040F9"/>
    <w:rsid w:val="0090770F"/>
    <w:rsid w:val="00911982"/>
    <w:rsid w:val="009131FC"/>
    <w:rsid w:val="00913A3B"/>
    <w:rsid w:val="009149DD"/>
    <w:rsid w:val="00915990"/>
    <w:rsid w:val="00915CD2"/>
    <w:rsid w:val="00920016"/>
    <w:rsid w:val="00922594"/>
    <w:rsid w:val="009229CC"/>
    <w:rsid w:val="009262BE"/>
    <w:rsid w:val="00926E8E"/>
    <w:rsid w:val="0092739B"/>
    <w:rsid w:val="00930EA8"/>
    <w:rsid w:val="00932080"/>
    <w:rsid w:val="00937861"/>
    <w:rsid w:val="00940648"/>
    <w:rsid w:val="00940C1C"/>
    <w:rsid w:val="009412F2"/>
    <w:rsid w:val="009414AE"/>
    <w:rsid w:val="00942D23"/>
    <w:rsid w:val="00947EB1"/>
    <w:rsid w:val="009519FE"/>
    <w:rsid w:val="0095312F"/>
    <w:rsid w:val="00953F28"/>
    <w:rsid w:val="00964CAD"/>
    <w:rsid w:val="009653AF"/>
    <w:rsid w:val="009656C8"/>
    <w:rsid w:val="009731F5"/>
    <w:rsid w:val="00975752"/>
    <w:rsid w:val="00980AC9"/>
    <w:rsid w:val="009822AD"/>
    <w:rsid w:val="00982B7E"/>
    <w:rsid w:val="00987376"/>
    <w:rsid w:val="009876AE"/>
    <w:rsid w:val="00987F34"/>
    <w:rsid w:val="0099407D"/>
    <w:rsid w:val="009958B1"/>
    <w:rsid w:val="00995DCA"/>
    <w:rsid w:val="009A0A4E"/>
    <w:rsid w:val="009A3F8A"/>
    <w:rsid w:val="009A4527"/>
    <w:rsid w:val="009B11BC"/>
    <w:rsid w:val="009B4915"/>
    <w:rsid w:val="009B7CED"/>
    <w:rsid w:val="009C0515"/>
    <w:rsid w:val="009C576E"/>
    <w:rsid w:val="009C6923"/>
    <w:rsid w:val="009D36DA"/>
    <w:rsid w:val="009D7456"/>
    <w:rsid w:val="009E1008"/>
    <w:rsid w:val="009E4772"/>
    <w:rsid w:val="009E6EA1"/>
    <w:rsid w:val="009E6FE5"/>
    <w:rsid w:val="009F1008"/>
    <w:rsid w:val="009F103E"/>
    <w:rsid w:val="009F1EE7"/>
    <w:rsid w:val="009F70BA"/>
    <w:rsid w:val="009F714C"/>
    <w:rsid w:val="009F7397"/>
    <w:rsid w:val="00A00255"/>
    <w:rsid w:val="00A0443E"/>
    <w:rsid w:val="00A07BEC"/>
    <w:rsid w:val="00A11FD1"/>
    <w:rsid w:val="00A13BFE"/>
    <w:rsid w:val="00A17775"/>
    <w:rsid w:val="00A22F1E"/>
    <w:rsid w:val="00A24A9B"/>
    <w:rsid w:val="00A25782"/>
    <w:rsid w:val="00A26662"/>
    <w:rsid w:val="00A34435"/>
    <w:rsid w:val="00A41A06"/>
    <w:rsid w:val="00A41B86"/>
    <w:rsid w:val="00A43708"/>
    <w:rsid w:val="00A44A20"/>
    <w:rsid w:val="00A47B78"/>
    <w:rsid w:val="00A5003B"/>
    <w:rsid w:val="00A503BE"/>
    <w:rsid w:val="00A50D6F"/>
    <w:rsid w:val="00A57873"/>
    <w:rsid w:val="00A57FF2"/>
    <w:rsid w:val="00A62E53"/>
    <w:rsid w:val="00A730B0"/>
    <w:rsid w:val="00A73AE9"/>
    <w:rsid w:val="00A74AA1"/>
    <w:rsid w:val="00A75731"/>
    <w:rsid w:val="00A817A7"/>
    <w:rsid w:val="00A838B0"/>
    <w:rsid w:val="00A84283"/>
    <w:rsid w:val="00A87CB5"/>
    <w:rsid w:val="00A916E5"/>
    <w:rsid w:val="00A91B5C"/>
    <w:rsid w:val="00A97643"/>
    <w:rsid w:val="00AA1CF0"/>
    <w:rsid w:val="00AA4F37"/>
    <w:rsid w:val="00AA5D87"/>
    <w:rsid w:val="00AA7549"/>
    <w:rsid w:val="00AA7BEB"/>
    <w:rsid w:val="00AB3963"/>
    <w:rsid w:val="00AB4B81"/>
    <w:rsid w:val="00AB7B54"/>
    <w:rsid w:val="00AC0284"/>
    <w:rsid w:val="00AC3C72"/>
    <w:rsid w:val="00AC3C80"/>
    <w:rsid w:val="00AD001A"/>
    <w:rsid w:val="00AD14AA"/>
    <w:rsid w:val="00AD71EC"/>
    <w:rsid w:val="00AD736E"/>
    <w:rsid w:val="00AE2059"/>
    <w:rsid w:val="00AF067B"/>
    <w:rsid w:val="00B03854"/>
    <w:rsid w:val="00B0631D"/>
    <w:rsid w:val="00B172F0"/>
    <w:rsid w:val="00B17FB3"/>
    <w:rsid w:val="00B21FE8"/>
    <w:rsid w:val="00B3204F"/>
    <w:rsid w:val="00B3575B"/>
    <w:rsid w:val="00B36E08"/>
    <w:rsid w:val="00B405D9"/>
    <w:rsid w:val="00B442F7"/>
    <w:rsid w:val="00B447B9"/>
    <w:rsid w:val="00B44D60"/>
    <w:rsid w:val="00B44F94"/>
    <w:rsid w:val="00B523B5"/>
    <w:rsid w:val="00B55103"/>
    <w:rsid w:val="00B60B51"/>
    <w:rsid w:val="00B66E17"/>
    <w:rsid w:val="00B7543F"/>
    <w:rsid w:val="00B778A6"/>
    <w:rsid w:val="00B81180"/>
    <w:rsid w:val="00B851CB"/>
    <w:rsid w:val="00B853AA"/>
    <w:rsid w:val="00B8550F"/>
    <w:rsid w:val="00B8628D"/>
    <w:rsid w:val="00B87ABC"/>
    <w:rsid w:val="00B933F5"/>
    <w:rsid w:val="00B94A7F"/>
    <w:rsid w:val="00B96326"/>
    <w:rsid w:val="00BA36E6"/>
    <w:rsid w:val="00BA3A89"/>
    <w:rsid w:val="00BA4CD8"/>
    <w:rsid w:val="00BA6B34"/>
    <w:rsid w:val="00BA6FF9"/>
    <w:rsid w:val="00BB6D34"/>
    <w:rsid w:val="00BC4302"/>
    <w:rsid w:val="00BD6414"/>
    <w:rsid w:val="00BD703F"/>
    <w:rsid w:val="00BE3322"/>
    <w:rsid w:val="00BE4006"/>
    <w:rsid w:val="00BE61E2"/>
    <w:rsid w:val="00BE6A72"/>
    <w:rsid w:val="00BF24DD"/>
    <w:rsid w:val="00BF342F"/>
    <w:rsid w:val="00BF4644"/>
    <w:rsid w:val="00BF49CF"/>
    <w:rsid w:val="00BF5CD7"/>
    <w:rsid w:val="00C004A2"/>
    <w:rsid w:val="00C06E4B"/>
    <w:rsid w:val="00C20A92"/>
    <w:rsid w:val="00C23711"/>
    <w:rsid w:val="00C3009C"/>
    <w:rsid w:val="00C31ADD"/>
    <w:rsid w:val="00C321F0"/>
    <w:rsid w:val="00C33ED7"/>
    <w:rsid w:val="00C364C2"/>
    <w:rsid w:val="00C36850"/>
    <w:rsid w:val="00C370C6"/>
    <w:rsid w:val="00C437CC"/>
    <w:rsid w:val="00C5288E"/>
    <w:rsid w:val="00C52F1D"/>
    <w:rsid w:val="00C5377B"/>
    <w:rsid w:val="00C5622B"/>
    <w:rsid w:val="00C56B1C"/>
    <w:rsid w:val="00C624DE"/>
    <w:rsid w:val="00C64E8D"/>
    <w:rsid w:val="00C67800"/>
    <w:rsid w:val="00C71025"/>
    <w:rsid w:val="00C7203F"/>
    <w:rsid w:val="00C72E3F"/>
    <w:rsid w:val="00C748A5"/>
    <w:rsid w:val="00C752E9"/>
    <w:rsid w:val="00C758D1"/>
    <w:rsid w:val="00C7615E"/>
    <w:rsid w:val="00C77769"/>
    <w:rsid w:val="00C77B41"/>
    <w:rsid w:val="00C8117C"/>
    <w:rsid w:val="00C839EF"/>
    <w:rsid w:val="00C86F96"/>
    <w:rsid w:val="00C90AB1"/>
    <w:rsid w:val="00C923F6"/>
    <w:rsid w:val="00C93863"/>
    <w:rsid w:val="00C949FD"/>
    <w:rsid w:val="00C9762A"/>
    <w:rsid w:val="00C979D2"/>
    <w:rsid w:val="00CA0856"/>
    <w:rsid w:val="00CA1450"/>
    <w:rsid w:val="00CA6247"/>
    <w:rsid w:val="00CB14AB"/>
    <w:rsid w:val="00CB1965"/>
    <w:rsid w:val="00CB36E7"/>
    <w:rsid w:val="00CB7203"/>
    <w:rsid w:val="00CB7381"/>
    <w:rsid w:val="00CC2F62"/>
    <w:rsid w:val="00CC36E9"/>
    <w:rsid w:val="00CD224B"/>
    <w:rsid w:val="00CD4B31"/>
    <w:rsid w:val="00CD5EBF"/>
    <w:rsid w:val="00CD6158"/>
    <w:rsid w:val="00CE3FD0"/>
    <w:rsid w:val="00CE7344"/>
    <w:rsid w:val="00CF3EED"/>
    <w:rsid w:val="00D057F8"/>
    <w:rsid w:val="00D1021C"/>
    <w:rsid w:val="00D10B92"/>
    <w:rsid w:val="00D2117B"/>
    <w:rsid w:val="00D23843"/>
    <w:rsid w:val="00D26A0E"/>
    <w:rsid w:val="00D33081"/>
    <w:rsid w:val="00D339BE"/>
    <w:rsid w:val="00D34A83"/>
    <w:rsid w:val="00D34A9C"/>
    <w:rsid w:val="00D37AF5"/>
    <w:rsid w:val="00D4038D"/>
    <w:rsid w:val="00D511DC"/>
    <w:rsid w:val="00D518D1"/>
    <w:rsid w:val="00D6032E"/>
    <w:rsid w:val="00D60543"/>
    <w:rsid w:val="00D7108D"/>
    <w:rsid w:val="00D722C8"/>
    <w:rsid w:val="00D73157"/>
    <w:rsid w:val="00D7370B"/>
    <w:rsid w:val="00D77837"/>
    <w:rsid w:val="00D855FC"/>
    <w:rsid w:val="00D91173"/>
    <w:rsid w:val="00D934FC"/>
    <w:rsid w:val="00D935D5"/>
    <w:rsid w:val="00D946BF"/>
    <w:rsid w:val="00DA0AE8"/>
    <w:rsid w:val="00DA481E"/>
    <w:rsid w:val="00DA5703"/>
    <w:rsid w:val="00DB5E27"/>
    <w:rsid w:val="00DB7091"/>
    <w:rsid w:val="00DC1D02"/>
    <w:rsid w:val="00DC3111"/>
    <w:rsid w:val="00DC4158"/>
    <w:rsid w:val="00DC7DA5"/>
    <w:rsid w:val="00DD01D6"/>
    <w:rsid w:val="00DD082F"/>
    <w:rsid w:val="00DD1636"/>
    <w:rsid w:val="00DD1FEF"/>
    <w:rsid w:val="00DD4CDD"/>
    <w:rsid w:val="00DD56F0"/>
    <w:rsid w:val="00DE32D3"/>
    <w:rsid w:val="00DF08DC"/>
    <w:rsid w:val="00DF3A22"/>
    <w:rsid w:val="00DF7C99"/>
    <w:rsid w:val="00DF7D25"/>
    <w:rsid w:val="00E017B3"/>
    <w:rsid w:val="00E039C5"/>
    <w:rsid w:val="00E04614"/>
    <w:rsid w:val="00E04BA5"/>
    <w:rsid w:val="00E051FE"/>
    <w:rsid w:val="00E07AF9"/>
    <w:rsid w:val="00E15B34"/>
    <w:rsid w:val="00E20525"/>
    <w:rsid w:val="00E21576"/>
    <w:rsid w:val="00E23BD4"/>
    <w:rsid w:val="00E255AA"/>
    <w:rsid w:val="00E27CCA"/>
    <w:rsid w:val="00E32F4B"/>
    <w:rsid w:val="00E33B02"/>
    <w:rsid w:val="00E357F3"/>
    <w:rsid w:val="00E35CD0"/>
    <w:rsid w:val="00E36F80"/>
    <w:rsid w:val="00E4326C"/>
    <w:rsid w:val="00E5451A"/>
    <w:rsid w:val="00E546CD"/>
    <w:rsid w:val="00E563D4"/>
    <w:rsid w:val="00E577B9"/>
    <w:rsid w:val="00E57C50"/>
    <w:rsid w:val="00E62B5E"/>
    <w:rsid w:val="00E62BC1"/>
    <w:rsid w:val="00E728FE"/>
    <w:rsid w:val="00E7571C"/>
    <w:rsid w:val="00E75B4A"/>
    <w:rsid w:val="00E763D2"/>
    <w:rsid w:val="00E77889"/>
    <w:rsid w:val="00E82FA7"/>
    <w:rsid w:val="00E85C22"/>
    <w:rsid w:val="00E90315"/>
    <w:rsid w:val="00E90379"/>
    <w:rsid w:val="00E916F0"/>
    <w:rsid w:val="00E917B1"/>
    <w:rsid w:val="00E931F5"/>
    <w:rsid w:val="00E97E6A"/>
    <w:rsid w:val="00EA1953"/>
    <w:rsid w:val="00EA4DDD"/>
    <w:rsid w:val="00EC5C4E"/>
    <w:rsid w:val="00EC5E41"/>
    <w:rsid w:val="00EC5EB2"/>
    <w:rsid w:val="00ED1002"/>
    <w:rsid w:val="00ED6B3F"/>
    <w:rsid w:val="00EE4C5C"/>
    <w:rsid w:val="00EE7E3E"/>
    <w:rsid w:val="00EF2EC6"/>
    <w:rsid w:val="00EF798B"/>
    <w:rsid w:val="00F003D3"/>
    <w:rsid w:val="00F00AA4"/>
    <w:rsid w:val="00F132FB"/>
    <w:rsid w:val="00F133FB"/>
    <w:rsid w:val="00F13544"/>
    <w:rsid w:val="00F16E3D"/>
    <w:rsid w:val="00F21E55"/>
    <w:rsid w:val="00F25FBF"/>
    <w:rsid w:val="00F30C9D"/>
    <w:rsid w:val="00F31DB6"/>
    <w:rsid w:val="00F34960"/>
    <w:rsid w:val="00F34F18"/>
    <w:rsid w:val="00F40731"/>
    <w:rsid w:val="00F421A9"/>
    <w:rsid w:val="00F422E6"/>
    <w:rsid w:val="00F50AAF"/>
    <w:rsid w:val="00F603AB"/>
    <w:rsid w:val="00F63876"/>
    <w:rsid w:val="00F6643F"/>
    <w:rsid w:val="00F66D5F"/>
    <w:rsid w:val="00F75AF2"/>
    <w:rsid w:val="00F75DE7"/>
    <w:rsid w:val="00F75F3C"/>
    <w:rsid w:val="00F8289E"/>
    <w:rsid w:val="00F83F75"/>
    <w:rsid w:val="00F84FDE"/>
    <w:rsid w:val="00F853DF"/>
    <w:rsid w:val="00F86E28"/>
    <w:rsid w:val="00F95243"/>
    <w:rsid w:val="00F9611C"/>
    <w:rsid w:val="00FA38BD"/>
    <w:rsid w:val="00FA7930"/>
    <w:rsid w:val="00FB329D"/>
    <w:rsid w:val="00FB4215"/>
    <w:rsid w:val="00FB53E2"/>
    <w:rsid w:val="00FB647B"/>
    <w:rsid w:val="00FC0E47"/>
    <w:rsid w:val="00FC26AB"/>
    <w:rsid w:val="00FC4B36"/>
    <w:rsid w:val="00FC6FA1"/>
    <w:rsid w:val="00FC7E04"/>
    <w:rsid w:val="00FD6FD7"/>
    <w:rsid w:val="00FE0ED8"/>
    <w:rsid w:val="00FE1C93"/>
    <w:rsid w:val="00FE2759"/>
    <w:rsid w:val="00FE411B"/>
    <w:rsid w:val="00FE7931"/>
    <w:rsid w:val="00FF0DE1"/>
    <w:rsid w:val="00FF1060"/>
    <w:rsid w:val="00FF7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2AFAC"/>
  <w15:chartTrackingRefBased/>
  <w15:docId w15:val="{F0821C3E-490D-4CF0-A1CF-096E1CDF3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CD7"/>
    <w:pPr>
      <w:spacing w:after="0" w:line="240" w:lineRule="auto"/>
    </w:pPr>
    <w:rPr>
      <w:rFonts w:ascii="Times New Roman" w:hAnsi="Times New Roman"/>
      <w:sz w:val="24"/>
    </w:rPr>
  </w:style>
  <w:style w:type="paragraph" w:styleId="Heading1">
    <w:name w:val="heading 1"/>
    <w:basedOn w:val="Normal"/>
    <w:next w:val="Normal"/>
    <w:link w:val="Heading1Char"/>
    <w:autoRedefine/>
    <w:uiPriority w:val="9"/>
    <w:qFormat/>
    <w:rsid w:val="009F70BA"/>
    <w:pPr>
      <w:tabs>
        <w:tab w:val="left" w:pos="720"/>
        <w:tab w:val="left" w:pos="3662"/>
      </w:tabs>
      <w:autoSpaceDE w:val="0"/>
      <w:autoSpaceDN w:val="0"/>
      <w:adjustRightInd w:val="0"/>
      <w:spacing w:before="35" w:line="244" w:lineRule="auto"/>
      <w:ind w:right="20"/>
      <w:jc w:val="center"/>
      <w:outlineLvl w:val="0"/>
    </w:pPr>
    <w:rPr>
      <w:rFonts w:cs="Times New Roman"/>
      <w:b/>
      <w:bCs/>
      <w:szCs w:val="24"/>
    </w:rPr>
  </w:style>
  <w:style w:type="paragraph" w:styleId="Heading2">
    <w:name w:val="heading 2"/>
    <w:basedOn w:val="Normal"/>
    <w:next w:val="Normal"/>
    <w:link w:val="Heading2Char"/>
    <w:uiPriority w:val="9"/>
    <w:unhideWhenUsed/>
    <w:qFormat/>
    <w:rsid w:val="00C5288E"/>
    <w:pPr>
      <w:autoSpaceDE w:val="0"/>
      <w:autoSpaceDN w:val="0"/>
      <w:adjustRightInd w:val="0"/>
      <w:jc w:val="center"/>
      <w:outlineLvl w:val="1"/>
    </w:pPr>
    <w:rPr>
      <w:rFonts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70BA"/>
    <w:rPr>
      <w:rFonts w:ascii="Times New Roman" w:hAnsi="Times New Roman" w:cs="Times New Roman"/>
      <w:b/>
      <w:bCs/>
      <w:sz w:val="24"/>
      <w:szCs w:val="24"/>
    </w:rPr>
  </w:style>
  <w:style w:type="character" w:customStyle="1" w:styleId="Heading2Char">
    <w:name w:val="Heading 2 Char"/>
    <w:basedOn w:val="DefaultParagraphFont"/>
    <w:link w:val="Heading2"/>
    <w:uiPriority w:val="9"/>
    <w:rsid w:val="00C5288E"/>
    <w:rPr>
      <w:rFonts w:ascii="Times New Roman" w:hAnsi="Times New Roman" w:cs="Times New Roman"/>
      <w:b/>
      <w:bCs/>
      <w:sz w:val="24"/>
      <w:szCs w:val="24"/>
    </w:rPr>
  </w:style>
  <w:style w:type="paragraph" w:styleId="BlockText">
    <w:name w:val="Block Text"/>
    <w:basedOn w:val="Normal"/>
    <w:uiPriority w:val="99"/>
    <w:rsid w:val="006A4C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ight="720"/>
      <w:jc w:val="both"/>
    </w:pPr>
    <w:rPr>
      <w:rFonts w:cs="Times New Roman"/>
      <w:sz w:val="22"/>
    </w:rPr>
  </w:style>
  <w:style w:type="paragraph" w:styleId="Header">
    <w:name w:val="header"/>
    <w:basedOn w:val="Normal"/>
    <w:link w:val="HeaderChar"/>
    <w:uiPriority w:val="99"/>
    <w:unhideWhenUsed/>
    <w:rsid w:val="006A4CD7"/>
    <w:pPr>
      <w:tabs>
        <w:tab w:val="center" w:pos="4680"/>
        <w:tab w:val="right" w:pos="9360"/>
      </w:tabs>
    </w:pPr>
  </w:style>
  <w:style w:type="character" w:customStyle="1" w:styleId="HeaderChar">
    <w:name w:val="Header Char"/>
    <w:basedOn w:val="DefaultParagraphFont"/>
    <w:link w:val="Header"/>
    <w:uiPriority w:val="99"/>
    <w:rsid w:val="006A4CD7"/>
    <w:rPr>
      <w:rFonts w:ascii="Times New Roman" w:hAnsi="Times New Roman"/>
      <w:sz w:val="24"/>
    </w:rPr>
  </w:style>
  <w:style w:type="paragraph" w:styleId="Footer">
    <w:name w:val="footer"/>
    <w:basedOn w:val="Normal"/>
    <w:link w:val="FooterChar"/>
    <w:uiPriority w:val="99"/>
    <w:unhideWhenUsed/>
    <w:rsid w:val="006A4CD7"/>
    <w:pPr>
      <w:tabs>
        <w:tab w:val="center" w:pos="4680"/>
        <w:tab w:val="right" w:pos="9360"/>
      </w:tabs>
    </w:pPr>
  </w:style>
  <w:style w:type="character" w:customStyle="1" w:styleId="FooterChar">
    <w:name w:val="Footer Char"/>
    <w:basedOn w:val="DefaultParagraphFont"/>
    <w:link w:val="Footer"/>
    <w:uiPriority w:val="99"/>
    <w:rsid w:val="006A4CD7"/>
    <w:rPr>
      <w:rFonts w:ascii="Times New Roman" w:hAnsi="Times New Roman"/>
      <w:sz w:val="24"/>
    </w:rPr>
  </w:style>
  <w:style w:type="paragraph" w:styleId="TOCHeading">
    <w:name w:val="TOC Heading"/>
    <w:basedOn w:val="Heading1"/>
    <w:next w:val="Normal"/>
    <w:uiPriority w:val="39"/>
    <w:unhideWhenUsed/>
    <w:qFormat/>
    <w:rsid w:val="0060759C"/>
    <w:pPr>
      <w:keepNext/>
      <w:keepLines/>
      <w:autoSpaceDE/>
      <w:autoSpaceDN/>
      <w:adjustRightInd/>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340019"/>
    <w:pPr>
      <w:tabs>
        <w:tab w:val="right" w:leader="dot" w:pos="9350"/>
      </w:tabs>
      <w:spacing w:before="40"/>
      <w:ind w:left="720" w:hanging="720"/>
    </w:pPr>
  </w:style>
  <w:style w:type="character" w:styleId="Hyperlink">
    <w:name w:val="Hyperlink"/>
    <w:basedOn w:val="DefaultParagraphFont"/>
    <w:uiPriority w:val="99"/>
    <w:unhideWhenUsed/>
    <w:rsid w:val="0060759C"/>
    <w:rPr>
      <w:color w:val="0563C1" w:themeColor="hyperlink"/>
      <w:u w:val="single"/>
    </w:rPr>
  </w:style>
  <w:style w:type="paragraph" w:styleId="TOC5">
    <w:name w:val="toc 5"/>
    <w:basedOn w:val="Normal"/>
    <w:next w:val="Normal"/>
    <w:autoRedefine/>
    <w:uiPriority w:val="39"/>
    <w:unhideWhenUsed/>
    <w:rsid w:val="0060759C"/>
    <w:pPr>
      <w:spacing w:after="100"/>
      <w:ind w:left="960"/>
    </w:pPr>
  </w:style>
  <w:style w:type="paragraph" w:styleId="ListParagraph">
    <w:name w:val="List Paragraph"/>
    <w:basedOn w:val="Normal"/>
    <w:uiPriority w:val="1"/>
    <w:qFormat/>
    <w:rsid w:val="00AB3963"/>
    <w:pPr>
      <w:ind w:left="720"/>
      <w:contextualSpacing/>
    </w:pPr>
  </w:style>
  <w:style w:type="character" w:styleId="UnresolvedMention">
    <w:name w:val="Unresolved Mention"/>
    <w:basedOn w:val="DefaultParagraphFont"/>
    <w:uiPriority w:val="99"/>
    <w:semiHidden/>
    <w:unhideWhenUsed/>
    <w:rsid w:val="003E3B69"/>
    <w:rPr>
      <w:color w:val="605E5C"/>
      <w:shd w:val="clear" w:color="auto" w:fill="E1DFDD"/>
    </w:rPr>
  </w:style>
  <w:style w:type="paragraph" w:styleId="TOC2">
    <w:name w:val="toc 2"/>
    <w:basedOn w:val="Normal"/>
    <w:next w:val="Normal"/>
    <w:autoRedefine/>
    <w:uiPriority w:val="39"/>
    <w:unhideWhenUsed/>
    <w:rsid w:val="001C1D68"/>
    <w:pPr>
      <w:tabs>
        <w:tab w:val="right" w:leader="dot" w:pos="9270"/>
      </w:tabs>
      <w:ind w:left="1627" w:right="720" w:hanging="907"/>
    </w:pPr>
    <w:rPr>
      <w:rFonts w:cs="Times New Roman"/>
      <w:noProof/>
    </w:rPr>
  </w:style>
  <w:style w:type="paragraph" w:styleId="TOC3">
    <w:name w:val="toc 3"/>
    <w:basedOn w:val="Normal"/>
    <w:next w:val="Normal"/>
    <w:autoRedefine/>
    <w:uiPriority w:val="39"/>
    <w:unhideWhenUsed/>
    <w:rsid w:val="009656C8"/>
    <w:pPr>
      <w:spacing w:after="100" w:line="259" w:lineRule="auto"/>
      <w:ind w:left="440"/>
    </w:pPr>
    <w:rPr>
      <w:rFonts w:asciiTheme="minorHAnsi" w:eastAsiaTheme="minorEastAsia" w:hAnsiTheme="minorHAnsi"/>
      <w:sz w:val="22"/>
    </w:rPr>
  </w:style>
  <w:style w:type="paragraph" w:styleId="TOC4">
    <w:name w:val="toc 4"/>
    <w:basedOn w:val="Normal"/>
    <w:next w:val="Normal"/>
    <w:autoRedefine/>
    <w:uiPriority w:val="39"/>
    <w:unhideWhenUsed/>
    <w:rsid w:val="009656C8"/>
    <w:pPr>
      <w:spacing w:after="100" w:line="259" w:lineRule="auto"/>
      <w:ind w:left="660"/>
    </w:pPr>
    <w:rPr>
      <w:rFonts w:asciiTheme="minorHAnsi" w:eastAsiaTheme="minorEastAsia" w:hAnsiTheme="minorHAnsi"/>
      <w:sz w:val="22"/>
    </w:rPr>
  </w:style>
  <w:style w:type="paragraph" w:styleId="TOC6">
    <w:name w:val="toc 6"/>
    <w:basedOn w:val="Normal"/>
    <w:next w:val="Normal"/>
    <w:autoRedefine/>
    <w:uiPriority w:val="39"/>
    <w:unhideWhenUsed/>
    <w:rsid w:val="009656C8"/>
    <w:pPr>
      <w:spacing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9656C8"/>
    <w:pPr>
      <w:spacing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9656C8"/>
    <w:pPr>
      <w:spacing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9656C8"/>
    <w:pPr>
      <w:spacing w:after="100" w:line="259" w:lineRule="auto"/>
      <w:ind w:left="1760"/>
    </w:pPr>
    <w:rPr>
      <w:rFonts w:asciiTheme="minorHAnsi" w:eastAsiaTheme="minorEastAsia" w:hAnsiTheme="minorHAnsi"/>
      <w:sz w:val="22"/>
    </w:rPr>
  </w:style>
  <w:style w:type="paragraph" w:styleId="BodyText">
    <w:name w:val="Body Text"/>
    <w:basedOn w:val="Normal"/>
    <w:link w:val="BodyTextChar"/>
    <w:uiPriority w:val="1"/>
    <w:qFormat/>
    <w:rsid w:val="003A5FFD"/>
    <w:pPr>
      <w:widowControl w:val="0"/>
      <w:autoSpaceDE w:val="0"/>
      <w:autoSpaceDN w:val="0"/>
    </w:pPr>
    <w:rPr>
      <w:rFonts w:eastAsia="Times New Roman" w:cs="Times New Roman"/>
      <w:szCs w:val="24"/>
    </w:rPr>
  </w:style>
  <w:style w:type="character" w:customStyle="1" w:styleId="BodyTextChar">
    <w:name w:val="Body Text Char"/>
    <w:basedOn w:val="DefaultParagraphFont"/>
    <w:link w:val="BodyText"/>
    <w:uiPriority w:val="1"/>
    <w:rsid w:val="003A5FFD"/>
    <w:rPr>
      <w:rFonts w:ascii="Times New Roman" w:eastAsia="Times New Roman" w:hAnsi="Times New Roman" w:cs="Times New Roman"/>
      <w:sz w:val="24"/>
      <w:szCs w:val="24"/>
    </w:rPr>
  </w:style>
  <w:style w:type="paragraph" w:styleId="NoSpacing">
    <w:name w:val="No Spacing"/>
    <w:uiPriority w:val="1"/>
    <w:qFormat/>
    <w:rsid w:val="00F75F3C"/>
    <w:pPr>
      <w:spacing w:after="0" w:line="240" w:lineRule="auto"/>
    </w:pPr>
    <w:rPr>
      <w:rFonts w:ascii="Times New Roman" w:hAnsi="Times New Roman"/>
      <w:sz w:val="24"/>
    </w:rPr>
  </w:style>
  <w:style w:type="character" w:styleId="BookTitle">
    <w:name w:val="Book Title"/>
    <w:basedOn w:val="DefaultParagraphFont"/>
    <w:uiPriority w:val="33"/>
    <w:qFormat/>
    <w:rsid w:val="004C6943"/>
    <w:rPr>
      <w:b/>
      <w:bCs/>
      <w:i/>
      <w:iCs/>
      <w:spacing w:val="5"/>
    </w:rPr>
  </w:style>
  <w:style w:type="character" w:styleId="FollowedHyperlink">
    <w:name w:val="FollowedHyperlink"/>
    <w:basedOn w:val="DefaultParagraphFont"/>
    <w:uiPriority w:val="99"/>
    <w:semiHidden/>
    <w:unhideWhenUsed/>
    <w:rsid w:val="00441E89"/>
    <w:rPr>
      <w:color w:val="954F72" w:themeColor="followedHyperlink"/>
      <w:u w:val="single"/>
    </w:rPr>
  </w:style>
  <w:style w:type="paragraph" w:styleId="NormalWeb">
    <w:name w:val="Normal (Web)"/>
    <w:basedOn w:val="Normal"/>
    <w:uiPriority w:val="99"/>
    <w:semiHidden/>
    <w:unhideWhenUsed/>
    <w:rsid w:val="00240080"/>
    <w:pPr>
      <w:spacing w:before="100" w:beforeAutospacing="1" w:after="100" w:afterAutospacing="1"/>
    </w:pPr>
    <w:rPr>
      <w:rFonts w:eastAsia="Times New Roman" w:cs="Times New Roman"/>
      <w:szCs w:val="24"/>
    </w:rPr>
  </w:style>
  <w:style w:type="character" w:styleId="Emphasis">
    <w:name w:val="Emphasis"/>
    <w:basedOn w:val="DefaultParagraphFont"/>
    <w:uiPriority w:val="20"/>
    <w:qFormat/>
    <w:rsid w:val="00240080"/>
    <w:rPr>
      <w:i/>
      <w:iCs/>
    </w:rPr>
  </w:style>
  <w:style w:type="paragraph" w:customStyle="1" w:styleId="Default">
    <w:name w:val="Default"/>
    <w:rsid w:val="00304EF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1">
    <w:name w:val="Style1"/>
    <w:basedOn w:val="Normal"/>
    <w:link w:val="Style1Char"/>
    <w:rsid w:val="00033B9C"/>
    <w:pPr>
      <w:autoSpaceDE w:val="0"/>
      <w:autoSpaceDN w:val="0"/>
      <w:adjustRightInd w:val="0"/>
      <w:jc w:val="center"/>
    </w:pPr>
    <w:rPr>
      <w:rFonts w:cs="Times New Roman"/>
      <w:b/>
      <w:bCs/>
      <w:sz w:val="28"/>
      <w:szCs w:val="28"/>
    </w:rPr>
  </w:style>
  <w:style w:type="character" w:customStyle="1" w:styleId="Style1Char">
    <w:name w:val="Style1 Char"/>
    <w:basedOn w:val="DefaultParagraphFont"/>
    <w:link w:val="Style1"/>
    <w:rsid w:val="00033B9C"/>
    <w:rPr>
      <w:rFonts w:ascii="Times New Roman" w:hAnsi="Times New Roman" w:cs="Times New Roman"/>
      <w:b/>
      <w:bCs/>
      <w:sz w:val="28"/>
      <w:szCs w:val="28"/>
    </w:rPr>
  </w:style>
  <w:style w:type="paragraph" w:styleId="Revision">
    <w:name w:val="Revision"/>
    <w:hidden/>
    <w:uiPriority w:val="99"/>
    <w:semiHidden/>
    <w:rsid w:val="00E36F80"/>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E36F80"/>
    <w:rPr>
      <w:sz w:val="16"/>
      <w:szCs w:val="16"/>
    </w:rPr>
  </w:style>
  <w:style w:type="paragraph" w:styleId="CommentText">
    <w:name w:val="annotation text"/>
    <w:basedOn w:val="Normal"/>
    <w:link w:val="CommentTextChar"/>
    <w:uiPriority w:val="99"/>
    <w:unhideWhenUsed/>
    <w:rsid w:val="00E36F80"/>
    <w:rPr>
      <w:sz w:val="20"/>
      <w:szCs w:val="20"/>
    </w:rPr>
  </w:style>
  <w:style w:type="character" w:customStyle="1" w:styleId="CommentTextChar">
    <w:name w:val="Comment Text Char"/>
    <w:basedOn w:val="DefaultParagraphFont"/>
    <w:link w:val="CommentText"/>
    <w:uiPriority w:val="99"/>
    <w:rsid w:val="00E36F8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36F80"/>
    <w:rPr>
      <w:b/>
      <w:bCs/>
    </w:rPr>
  </w:style>
  <w:style w:type="character" w:customStyle="1" w:styleId="CommentSubjectChar">
    <w:name w:val="Comment Subject Char"/>
    <w:basedOn w:val="CommentTextChar"/>
    <w:link w:val="CommentSubject"/>
    <w:uiPriority w:val="99"/>
    <w:semiHidden/>
    <w:rsid w:val="00E36F80"/>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843313">
      <w:bodyDiv w:val="1"/>
      <w:marLeft w:val="0"/>
      <w:marRight w:val="0"/>
      <w:marTop w:val="0"/>
      <w:marBottom w:val="0"/>
      <w:divBdr>
        <w:top w:val="none" w:sz="0" w:space="0" w:color="auto"/>
        <w:left w:val="none" w:sz="0" w:space="0" w:color="auto"/>
        <w:bottom w:val="none" w:sz="0" w:space="0" w:color="auto"/>
        <w:right w:val="none" w:sz="0" w:space="0" w:color="auto"/>
      </w:divBdr>
    </w:div>
    <w:div w:id="1510869945">
      <w:bodyDiv w:val="1"/>
      <w:marLeft w:val="0"/>
      <w:marRight w:val="0"/>
      <w:marTop w:val="0"/>
      <w:marBottom w:val="0"/>
      <w:divBdr>
        <w:top w:val="none" w:sz="0" w:space="0" w:color="auto"/>
        <w:left w:val="none" w:sz="0" w:space="0" w:color="auto"/>
        <w:bottom w:val="none" w:sz="0" w:space="0" w:color="auto"/>
        <w:right w:val="none" w:sz="0" w:space="0" w:color="auto"/>
      </w:divBdr>
    </w:div>
    <w:div w:id="1861238904">
      <w:bodyDiv w:val="1"/>
      <w:marLeft w:val="0"/>
      <w:marRight w:val="0"/>
      <w:marTop w:val="0"/>
      <w:marBottom w:val="0"/>
      <w:divBdr>
        <w:top w:val="none" w:sz="0" w:space="0" w:color="auto"/>
        <w:left w:val="none" w:sz="0" w:space="0" w:color="auto"/>
        <w:bottom w:val="none" w:sz="0" w:space="0" w:color="auto"/>
        <w:right w:val="none" w:sz="0" w:space="0" w:color="auto"/>
      </w:divBdr>
    </w:div>
    <w:div w:id="200704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F7EE0-571E-48AD-80E8-1D46FB320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3</Pages>
  <Words>1081</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Willson</dc:creator>
  <cp:keywords/>
  <dc:description/>
  <cp:lastModifiedBy>Samriddhi Rana</cp:lastModifiedBy>
  <cp:revision>21</cp:revision>
  <cp:lastPrinted>2024-03-04T23:10:00Z</cp:lastPrinted>
  <dcterms:created xsi:type="dcterms:W3CDTF">2024-05-04T16:22:00Z</dcterms:created>
  <dcterms:modified xsi:type="dcterms:W3CDTF">2024-05-21T05:18:00Z</dcterms:modified>
</cp:coreProperties>
</file>