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300B" w14:textId="77777777" w:rsidR="00805159" w:rsidRPr="0009095F" w:rsidRDefault="00805159" w:rsidP="00805159">
      <w:pPr>
        <w:jc w:val="center"/>
        <w:outlineLvl w:val="1"/>
        <w:rPr>
          <w:b/>
        </w:rPr>
      </w:pPr>
      <w:bookmarkStart w:id="0" w:name="_Hlk159242456"/>
      <w:r w:rsidRPr="0009095F">
        <w:rPr>
          <w:b/>
        </w:rPr>
        <w:t>15.14 Infringement—Elements—Ownership—Priority Through Tacking</w:t>
      </w:r>
    </w:p>
    <w:p w14:paraId="67C40E41" w14:textId="77777777" w:rsidR="00805159" w:rsidRPr="00BF7BE4" w:rsidRDefault="00805159" w:rsidP="00805159"/>
    <w:p w14:paraId="6763C1FB" w14:textId="54A4E70C" w:rsidR="00805159" w:rsidRDefault="00805159" w:rsidP="00805159">
      <w:pPr>
        <w:ind w:firstLine="720"/>
        <w:rPr>
          <w:rFonts w:eastAsia="Times New Roman"/>
          <w:color w:val="000000"/>
          <w:szCs w:val="24"/>
        </w:rPr>
      </w:pPr>
      <w:bookmarkStart w:id="1" w:name="_Hlk159833544"/>
      <w:r w:rsidRPr="008053C1">
        <w:rPr>
          <w:rFonts w:eastAsia="Times New Roman"/>
          <w:color w:val="000000"/>
          <w:szCs w:val="24"/>
        </w:rPr>
        <w:t>Rights in a trademark are determined by the date of the mark</w:t>
      </w:r>
      <w:r>
        <w:rPr>
          <w:rFonts w:eastAsia="Times New Roman"/>
          <w:color w:val="000000"/>
          <w:szCs w:val="24"/>
        </w:rPr>
        <w:t>’</w:t>
      </w:r>
      <w:r w:rsidRPr="008053C1">
        <w:rPr>
          <w:rFonts w:eastAsia="Times New Roman"/>
          <w:color w:val="000000"/>
          <w:szCs w:val="24"/>
        </w:rPr>
        <w:t xml:space="preserve">s first use in commerce. </w:t>
      </w:r>
      <w:r w:rsidRPr="0009095F">
        <w:rPr>
          <w:color w:val="000000"/>
        </w:rPr>
        <w:t xml:space="preserve">The </w:t>
      </w:r>
      <w:r w:rsidRPr="008053C1">
        <w:rPr>
          <w:rFonts w:eastAsia="Times New Roman"/>
          <w:color w:val="000000"/>
          <w:szCs w:val="24"/>
        </w:rPr>
        <w:t>party who first uses a mark in commerce is said to have priority over other users</w:t>
      </w:r>
      <w:r>
        <w:rPr>
          <w:rFonts w:eastAsia="Times New Roman"/>
          <w:color w:val="000000"/>
          <w:szCs w:val="24"/>
        </w:rPr>
        <w:t xml:space="preserve">, and the </w:t>
      </w:r>
      <w:r w:rsidRPr="00BF7BE4">
        <w:rPr>
          <w:szCs w:val="24"/>
        </w:rPr>
        <w:t>[</w:t>
      </w:r>
      <w:r>
        <w:rPr>
          <w:szCs w:val="24"/>
        </w:rPr>
        <w:t>p</w:t>
      </w:r>
      <w:r w:rsidRPr="00BF7BE4">
        <w:rPr>
          <w:szCs w:val="24"/>
        </w:rPr>
        <w:t>laintiff] [</w:t>
      </w:r>
      <w:r>
        <w:rPr>
          <w:szCs w:val="24"/>
        </w:rPr>
        <w:t>d</w:t>
      </w:r>
      <w:r w:rsidRPr="00BF7BE4">
        <w:rPr>
          <w:szCs w:val="24"/>
        </w:rPr>
        <w:t>efendant</w:t>
      </w:r>
      <w:r w:rsidRPr="00BF7BE4">
        <w:t>] asserts that [his] [her] [</w:t>
      </w:r>
      <w:r>
        <w:rPr>
          <w:szCs w:val="24"/>
        </w:rPr>
        <w:t>other pronoun</w:t>
      </w:r>
      <w:r w:rsidRPr="00BF7BE4">
        <w:t>] mark has priority through the doctrine of “tacking.”</w:t>
      </w:r>
      <w:r w:rsidRPr="0009095F">
        <w:rPr>
          <w:color w:val="000000"/>
        </w:rPr>
        <w:t xml:space="preserve"> Tacking </w:t>
      </w:r>
      <w:r>
        <w:rPr>
          <w:rFonts w:eastAsia="Times New Roman"/>
          <w:color w:val="000000"/>
          <w:szCs w:val="24"/>
        </w:rPr>
        <w:t>r</w:t>
      </w:r>
      <w:r w:rsidRPr="008053C1">
        <w:rPr>
          <w:rFonts w:eastAsia="Times New Roman"/>
          <w:color w:val="000000"/>
          <w:szCs w:val="24"/>
        </w:rPr>
        <w:t>ecogni</w:t>
      </w:r>
      <w:r>
        <w:rPr>
          <w:rFonts w:eastAsia="Times New Roman"/>
          <w:color w:val="000000"/>
          <w:szCs w:val="24"/>
        </w:rPr>
        <w:t>zes</w:t>
      </w:r>
      <w:r w:rsidRPr="008053C1">
        <w:rPr>
          <w:rFonts w:eastAsia="Times New Roman"/>
          <w:color w:val="000000"/>
          <w:szCs w:val="24"/>
        </w:rPr>
        <w:t xml:space="preserve"> that trademark users ought to be permitted to make certain modifications to their marks over time without losing priority</w:t>
      </w:r>
      <w:r>
        <w:rPr>
          <w:rFonts w:eastAsia="Times New Roman"/>
          <w:color w:val="000000"/>
          <w:szCs w:val="24"/>
        </w:rPr>
        <w:t xml:space="preserve">. </w:t>
      </w:r>
    </w:p>
    <w:p w14:paraId="7915A960" w14:textId="77777777" w:rsidR="00805159" w:rsidRDefault="00805159" w:rsidP="00805159">
      <w:pPr>
        <w:ind w:firstLine="720"/>
        <w:rPr>
          <w:rFonts w:eastAsia="Times New Roman"/>
          <w:color w:val="000000"/>
          <w:szCs w:val="24"/>
        </w:rPr>
      </w:pPr>
    </w:p>
    <w:p w14:paraId="4F0FB6FE" w14:textId="2459B06B" w:rsidR="00805159" w:rsidRPr="00396887" w:rsidRDefault="00805159" w:rsidP="00805159">
      <w:pPr>
        <w:ind w:firstLine="720"/>
        <w:rPr>
          <w:i/>
        </w:rPr>
      </w:pPr>
      <w:r w:rsidRPr="00396887">
        <w:rPr>
          <w:rFonts w:eastAsia="Times New Roman"/>
          <w:color w:val="000000"/>
          <w:szCs w:val="24"/>
        </w:rPr>
        <w:t>Tacking is available</w:t>
      </w:r>
      <w:r w:rsidRPr="0009095F">
        <w:rPr>
          <w:color w:val="000000"/>
        </w:rPr>
        <w:t xml:space="preserve"> when the </w:t>
      </w:r>
      <w:r w:rsidRPr="00396887">
        <w:rPr>
          <w:rFonts w:eastAsia="Times New Roman"/>
          <w:color w:val="000000"/>
          <w:szCs w:val="24"/>
        </w:rPr>
        <w:t>original and revised marks are “</w:t>
      </w:r>
      <w:r w:rsidRPr="0009095F">
        <w:rPr>
          <w:color w:val="000000"/>
        </w:rPr>
        <w:t xml:space="preserve">legal </w:t>
      </w:r>
      <w:r w:rsidRPr="00396887">
        <w:rPr>
          <w:rFonts w:eastAsia="Times New Roman"/>
          <w:color w:val="000000"/>
          <w:szCs w:val="24"/>
        </w:rPr>
        <w:t>equivalents” in that they</w:t>
      </w:r>
      <w:r w:rsidRPr="0009095F">
        <w:rPr>
          <w:color w:val="000000"/>
        </w:rPr>
        <w:t xml:space="preserve"> create the same, continuing commercial impression</w:t>
      </w:r>
      <w:r w:rsidRPr="00396887">
        <w:rPr>
          <w:rFonts w:eastAsia="Times New Roman"/>
          <w:color w:val="000000"/>
          <w:szCs w:val="24"/>
        </w:rPr>
        <w:t xml:space="preserve"> without material differences between them so that consumers would consider them the same mark. In other words, viewing the marks in context and in their entirety, an ordinary purchaser could perceive them as conveying the same idea or meaning</w:t>
      </w:r>
      <w:r>
        <w:rPr>
          <w:color w:val="000000"/>
        </w:rPr>
        <w:t>.</w:t>
      </w:r>
    </w:p>
    <w:bookmarkEnd w:id="1"/>
    <w:p w14:paraId="28EC1680" w14:textId="77777777" w:rsidR="00805159" w:rsidRPr="00BF7BE4" w:rsidRDefault="00805159" w:rsidP="00805159">
      <w:pPr>
        <w:ind w:firstLine="720"/>
      </w:pPr>
    </w:p>
    <w:p w14:paraId="0427F961" w14:textId="77777777" w:rsidR="00805159" w:rsidRPr="00BF7BE4" w:rsidRDefault="00805159" w:rsidP="00805159">
      <w:pPr>
        <w:jc w:val="center"/>
        <w:rPr>
          <w:b/>
        </w:rPr>
      </w:pPr>
      <w:r w:rsidRPr="00BF7BE4">
        <w:rPr>
          <w:b/>
        </w:rPr>
        <w:t>Comment</w:t>
      </w:r>
    </w:p>
    <w:p w14:paraId="0C96BFA7" w14:textId="77777777" w:rsidR="00805159" w:rsidRPr="00BF7BE4" w:rsidRDefault="00805159" w:rsidP="00805159"/>
    <w:p w14:paraId="0E43331A" w14:textId="1A985B71" w:rsidR="00805159" w:rsidRDefault="00805159" w:rsidP="00805159">
      <w:pPr>
        <w:rPr>
          <w:b/>
          <w:bCs/>
        </w:rPr>
      </w:pPr>
      <w:r w:rsidRPr="00BF7BE4">
        <w:rPr>
          <w:b/>
          <w:bCs/>
          <w:i/>
          <w:iCs/>
          <w:szCs w:val="24"/>
        </w:rPr>
        <w:tab/>
      </w:r>
      <w:r w:rsidRPr="00BF7BE4">
        <w:t xml:space="preserve"> The standard for tacking is exceedingly strict and applies only in “exceptionally narrow” circumstances. </w:t>
      </w:r>
      <w:r w:rsidRPr="00BF7BE4">
        <w:rPr>
          <w:i/>
          <w:iCs/>
          <w:szCs w:val="24"/>
        </w:rPr>
        <w:t>Hana Fin</w:t>
      </w:r>
      <w:r>
        <w:rPr>
          <w:i/>
          <w:iCs/>
          <w:szCs w:val="24"/>
        </w:rPr>
        <w:t>.</w:t>
      </w:r>
      <w:r w:rsidRPr="00BF7BE4">
        <w:rPr>
          <w:i/>
          <w:iCs/>
          <w:szCs w:val="24"/>
        </w:rPr>
        <w:t>,</w:t>
      </w:r>
      <w:r w:rsidRPr="00BF7BE4">
        <w:rPr>
          <w:i/>
        </w:rPr>
        <w:t xml:space="preserve"> Inc. v. Hana Bank</w:t>
      </w:r>
      <w:r w:rsidRPr="00BF7BE4">
        <w:t xml:space="preserve">, 735 F.3d 1158, </w:t>
      </w:r>
      <w:r w:rsidRPr="00BF7BE4">
        <w:rPr>
          <w:szCs w:val="24"/>
        </w:rPr>
        <w:t>116</w:t>
      </w:r>
      <w:r>
        <w:rPr>
          <w:szCs w:val="24"/>
        </w:rPr>
        <w:t>4</w:t>
      </w:r>
      <w:r w:rsidRPr="00BF7BE4">
        <w:rPr>
          <w:szCs w:val="24"/>
        </w:rPr>
        <w:t xml:space="preserve"> (9th Cir. 2013), </w:t>
      </w:r>
      <w:r w:rsidRPr="00BF7BE4">
        <w:rPr>
          <w:i/>
          <w:iCs/>
          <w:szCs w:val="24"/>
        </w:rPr>
        <w:t>aff’d</w:t>
      </w:r>
      <w:r w:rsidRPr="00BF7BE4">
        <w:rPr>
          <w:szCs w:val="24"/>
        </w:rPr>
        <w:t xml:space="preserve">, </w:t>
      </w:r>
      <w:r>
        <w:rPr>
          <w:szCs w:val="24"/>
        </w:rPr>
        <w:t>574 U.S. 418</w:t>
      </w:r>
      <w:r w:rsidRPr="00BF7BE4">
        <w:rPr>
          <w:szCs w:val="24"/>
        </w:rPr>
        <w:t xml:space="preserve"> (2015).</w:t>
      </w:r>
      <w:r>
        <w:t xml:space="preserve"> </w:t>
      </w:r>
      <w:r w:rsidRPr="00BF7BE4">
        <w:t xml:space="preserve">A trademark user may tack the date of the user’s first use of an earlier mark onto a subsequent mark only when </w:t>
      </w:r>
      <w:r>
        <w:rPr>
          <w:szCs w:val="24"/>
        </w:rPr>
        <w:t>“</w:t>
      </w:r>
      <w:r w:rsidRPr="00BF7BE4">
        <w:t>two marks are so similar that consumers generally would regard them as essentially the same</w:t>
      </w:r>
      <w:r w:rsidRPr="00BF7BE4">
        <w:rPr>
          <w:szCs w:val="24"/>
        </w:rPr>
        <w:t>.”</w:t>
      </w:r>
      <w:r w:rsidRPr="00BF7BE4">
        <w:t xml:space="preserve"> </w:t>
      </w:r>
      <w:r w:rsidRPr="00BF7BE4">
        <w:rPr>
          <w:i/>
        </w:rPr>
        <w:t xml:space="preserve">Id. </w:t>
      </w:r>
      <w:r w:rsidRPr="00BF7BE4">
        <w:t xml:space="preserve">(quoting </w:t>
      </w:r>
      <w:r w:rsidRPr="00BF7BE4">
        <w:rPr>
          <w:i/>
        </w:rPr>
        <w:t xml:space="preserve">Brookfield Commc’ns, Inc. v. W. Coast </w:t>
      </w:r>
      <w:r w:rsidRPr="00BF7BE4">
        <w:rPr>
          <w:i/>
          <w:iCs/>
          <w:szCs w:val="24"/>
        </w:rPr>
        <w:t>En</w:t>
      </w:r>
      <w:r>
        <w:rPr>
          <w:i/>
          <w:iCs/>
          <w:szCs w:val="24"/>
        </w:rPr>
        <w:t>t.</w:t>
      </w:r>
      <w:r w:rsidRPr="00BF7BE4">
        <w:rPr>
          <w:i/>
        </w:rPr>
        <w:t xml:space="preserve"> Corp.</w:t>
      </w:r>
      <w:r w:rsidRPr="00BF7BE4">
        <w:t xml:space="preserve">, 174 F.3d 1036, 1048 (9th Cir. 1999)). The standard for tacking is considerably higher than the standard for likelihood of confusion. </w:t>
      </w:r>
      <w:r w:rsidRPr="00BF7BE4">
        <w:rPr>
          <w:i/>
        </w:rPr>
        <w:t>Id. </w:t>
      </w:r>
      <w:r w:rsidRPr="00BF7BE4">
        <w:t xml:space="preserve">at 1164-65. For examples of types of marks that have been properly and improperly tacked, </w:t>
      </w:r>
      <w:r w:rsidRPr="00BF7BE4">
        <w:rPr>
          <w:i/>
        </w:rPr>
        <w:t xml:space="preserve">see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 </w:t>
      </w:r>
      <w:r w:rsidRPr="00BF7BE4">
        <w:t>§§ 17:26</w:t>
      </w:r>
      <w:r>
        <w:rPr>
          <w:szCs w:val="24"/>
        </w:rPr>
        <w:t>-</w:t>
      </w:r>
      <w:r w:rsidRPr="00BF7BE4">
        <w:t>28 (</w:t>
      </w:r>
      <w:r>
        <w:rPr>
          <w:szCs w:val="24"/>
        </w:rPr>
        <w:t>5</w:t>
      </w:r>
      <w:r w:rsidRPr="00BF7BE4">
        <w:rPr>
          <w:szCs w:val="24"/>
        </w:rPr>
        <w:t>th</w:t>
      </w:r>
      <w:r w:rsidRPr="00BF7BE4">
        <w:t xml:space="preserve"> ed. </w:t>
      </w:r>
      <w:r w:rsidRPr="00BF7BE4">
        <w:rPr>
          <w:szCs w:val="24"/>
        </w:rPr>
        <w:t>201</w:t>
      </w:r>
      <w:r>
        <w:rPr>
          <w:szCs w:val="24"/>
        </w:rPr>
        <w:t>9</w:t>
      </w:r>
      <w:r w:rsidRPr="00BF7BE4">
        <w:t>).</w:t>
      </w:r>
      <w:bookmarkEnd w:id="0"/>
    </w:p>
    <w:p w14:paraId="19C29C7E" w14:textId="77777777" w:rsidR="00C30C2C" w:rsidRDefault="00C30C2C"/>
    <w:p w14:paraId="1707DE1E" w14:textId="3F7FFC75" w:rsidR="00805159" w:rsidRPr="005127B5" w:rsidRDefault="00805159" w:rsidP="00805159">
      <w:pPr>
        <w:jc w:val="right"/>
        <w:rPr>
          <w:i/>
          <w:iCs/>
        </w:rPr>
      </w:pPr>
      <w:r>
        <w:rPr>
          <w:i/>
          <w:iCs/>
        </w:rPr>
        <w:t>Revised March 2024</w:t>
      </w:r>
    </w:p>
    <w:sectPr w:rsidR="00805159" w:rsidRPr="0051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59"/>
    <w:rsid w:val="00235FFF"/>
    <w:rsid w:val="005127B5"/>
    <w:rsid w:val="00695F6A"/>
    <w:rsid w:val="006E771A"/>
    <w:rsid w:val="00805159"/>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8FCE"/>
  <w15:chartTrackingRefBased/>
  <w15:docId w15:val="{3174C3BB-6228-4662-BA55-A167D698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59"/>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805159"/>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2024-05-21T03:55:00Z</dcterms:created>
  <dcterms:modified xsi:type="dcterms:W3CDTF">2024-05-21T05:18:00Z</dcterms:modified>
</cp:coreProperties>
</file>