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E5E1" w14:textId="77777777" w:rsidR="0086073C" w:rsidRPr="0009095F" w:rsidRDefault="0086073C" w:rsidP="0086073C">
      <w:pPr>
        <w:jc w:val="center"/>
        <w:outlineLvl w:val="1"/>
        <w:rPr>
          <w:b/>
        </w:rPr>
      </w:pPr>
      <w:bookmarkStart w:id="0" w:name="_Hlk159243167"/>
      <w:r w:rsidRPr="0009095F">
        <w:rPr>
          <w:b/>
        </w:rPr>
        <w:t>15.16 Trademark Ownership—Licensee</w:t>
      </w:r>
    </w:p>
    <w:p w14:paraId="1229B4CB" w14:textId="77777777" w:rsidR="0086073C" w:rsidRPr="00BF7BE4" w:rsidRDefault="0086073C" w:rsidP="0086073C">
      <w:pPr>
        <w:rPr>
          <w:rFonts w:ascii="VEYYM C+ Times New Roman," w:hAnsi="VEYYM C+ Times New Roman,"/>
        </w:rPr>
      </w:pPr>
    </w:p>
    <w:p w14:paraId="6509913B" w14:textId="544F0BA2" w:rsidR="0086073C" w:rsidRPr="00BF7BE4" w:rsidRDefault="0086073C" w:rsidP="0086073C">
      <w:r w:rsidRPr="00BF7BE4">
        <w:rPr>
          <w:rFonts w:ascii="VEYYM C+ Times New Roman," w:hAnsi="VEYYM C+ Times New Roman,"/>
        </w:rPr>
        <w:tab/>
      </w:r>
      <w:r w:rsidRPr="00BF7BE4">
        <w:t xml:space="preserve">The owner of a trademark may enter into an agreement that permits another person to use the trademark. This type of agreement is called a license, and the person permitted to use the trademark is called a licensee. </w:t>
      </w:r>
    </w:p>
    <w:p w14:paraId="3B157B32" w14:textId="77777777" w:rsidR="0086073C" w:rsidRPr="00BF7BE4" w:rsidRDefault="0086073C" w:rsidP="0086073C"/>
    <w:p w14:paraId="4224032F" w14:textId="777E2349" w:rsidR="0086073C" w:rsidRPr="00BF7BE4" w:rsidRDefault="0086073C" w:rsidP="0086073C">
      <w:r w:rsidRPr="00BF7BE4">
        <w:tab/>
        <w:t>A license agreement may include the right to exclude others from using the trademark. A licensee may enforce this right to exclude others in an action for [infringement] [or] [</w:t>
      </w:r>
      <w:r w:rsidRPr="00BF7BE4">
        <w:rPr>
          <w:i/>
          <w:u w:val="single"/>
        </w:rPr>
        <w:t>insert applicable form of unfair competition from 15 U.S.C. § 1125(a)</w:t>
      </w:r>
      <w:r w:rsidRPr="00BF7BE4">
        <w:t xml:space="preserve">]. </w:t>
      </w:r>
    </w:p>
    <w:p w14:paraId="7A9AE9A1" w14:textId="77777777" w:rsidR="0086073C" w:rsidRPr="00BF7BE4" w:rsidRDefault="0086073C" w:rsidP="0086073C"/>
    <w:p w14:paraId="2401B13D" w14:textId="77777777" w:rsidR="0086073C" w:rsidRPr="00BF7BE4" w:rsidRDefault="0086073C" w:rsidP="0086073C">
      <w:r w:rsidRPr="00BF7BE4">
        <w:tab/>
        <w:t>[The plaintiff is a licensee.]</w:t>
      </w:r>
    </w:p>
    <w:p w14:paraId="6FF92C6D" w14:textId="77777777" w:rsidR="0086073C" w:rsidRPr="00BF7BE4" w:rsidRDefault="0086073C" w:rsidP="0086073C">
      <w:pPr>
        <w:jc w:val="center"/>
      </w:pPr>
      <w:r w:rsidRPr="00BF7BE4">
        <w:rPr>
          <w:b/>
        </w:rPr>
        <w:t>Comment</w:t>
      </w:r>
    </w:p>
    <w:p w14:paraId="452A4570" w14:textId="77777777" w:rsidR="0086073C" w:rsidRPr="00BF7BE4" w:rsidRDefault="0086073C" w:rsidP="0086073C"/>
    <w:p w14:paraId="01B6ACA3" w14:textId="77777777" w:rsidR="0086073C" w:rsidRPr="00BF7BE4" w:rsidRDefault="0086073C" w:rsidP="0086073C">
      <w:r w:rsidRPr="00BF7BE4">
        <w:tab/>
        <w:t xml:space="preserve">Although 15 U.S.C. § 1060 requires that assignments be written, a license can be oral. </w:t>
      </w:r>
    </w:p>
    <w:p w14:paraId="58099F9D" w14:textId="77777777" w:rsidR="0086073C" w:rsidRPr="00BF7BE4" w:rsidRDefault="0086073C" w:rsidP="0086073C"/>
    <w:p w14:paraId="043D1EEF" w14:textId="74FEA6AE" w:rsidR="0086073C" w:rsidRPr="00BF7BE4" w:rsidRDefault="0086073C" w:rsidP="0086073C">
      <w:r w:rsidRPr="00BF7BE4">
        <w:tab/>
        <w:t xml:space="preserve">In licensing trademark rights, the owner may include </w:t>
      </w:r>
      <w:r>
        <w:rPr>
          <w:szCs w:val="24"/>
        </w:rPr>
        <w:t xml:space="preserve">in the license </w:t>
      </w:r>
      <w:r w:rsidRPr="00BF7BE4">
        <w:t xml:space="preserve">the right to sue for trademark infringement. The licensee’s right to sue originates from the license and is governed by the terms of the licensing agreement. </w:t>
      </w:r>
      <w:r w:rsidRPr="00BF7BE4">
        <w:rPr>
          <w:i/>
        </w:rPr>
        <w:t>See DEP Corp. v. Interstate Cigar Co.</w:t>
      </w:r>
      <w:r w:rsidRPr="00BF7BE4">
        <w:t xml:space="preserve">, 622 F.2d 621, </w:t>
      </w:r>
      <w:r w:rsidRPr="00BF7BE4">
        <w:rPr>
          <w:szCs w:val="24"/>
        </w:rPr>
        <w:t>62</w:t>
      </w:r>
      <w:r>
        <w:rPr>
          <w:szCs w:val="24"/>
        </w:rPr>
        <w:t>2-2</w:t>
      </w:r>
      <w:r w:rsidRPr="00BF7BE4">
        <w:rPr>
          <w:szCs w:val="24"/>
        </w:rPr>
        <w:t>3</w:t>
      </w:r>
      <w:r w:rsidRPr="00BF7BE4">
        <w:t xml:space="preserve"> (2d Cir.</w:t>
      </w:r>
      <w:r>
        <w:rPr>
          <w:szCs w:val="24"/>
        </w:rPr>
        <w:t xml:space="preserve"> </w:t>
      </w:r>
      <w:r w:rsidRPr="00BF7BE4">
        <w:t xml:space="preserve">1980) (holding that because </w:t>
      </w:r>
      <w:r>
        <w:rPr>
          <w:szCs w:val="24"/>
        </w:rPr>
        <w:t xml:space="preserve">the </w:t>
      </w:r>
      <w:r w:rsidRPr="00BF7BE4">
        <w:t xml:space="preserve">plaintiff was not owner of </w:t>
      </w:r>
      <w:r>
        <w:rPr>
          <w:szCs w:val="24"/>
        </w:rPr>
        <w:t xml:space="preserve">the </w:t>
      </w:r>
      <w:r w:rsidRPr="00BF7BE4">
        <w:t xml:space="preserve">trademark, it lacked standing to sue under </w:t>
      </w:r>
      <w:r>
        <w:rPr>
          <w:szCs w:val="24"/>
        </w:rPr>
        <w:t xml:space="preserve">the </w:t>
      </w:r>
      <w:r w:rsidRPr="00BF7BE4">
        <w:t xml:space="preserve">Lanham Act; any interests </w:t>
      </w:r>
      <w:r>
        <w:rPr>
          <w:szCs w:val="24"/>
        </w:rPr>
        <w:t xml:space="preserve">the </w:t>
      </w:r>
      <w:r w:rsidRPr="00BF7BE4">
        <w:t xml:space="preserve">plaintiff had in </w:t>
      </w:r>
      <w:r>
        <w:rPr>
          <w:szCs w:val="24"/>
        </w:rPr>
        <w:t xml:space="preserve">the trademark </w:t>
      </w:r>
      <w:r w:rsidRPr="00BF7BE4">
        <w:t xml:space="preserve">were governed by terms of </w:t>
      </w:r>
      <w:r>
        <w:rPr>
          <w:szCs w:val="24"/>
        </w:rPr>
        <w:t xml:space="preserve">the </w:t>
      </w:r>
      <w:r w:rsidRPr="00BF7BE4">
        <w:t>licensing agreement)</w:t>
      </w:r>
      <w:r>
        <w:rPr>
          <w:iCs/>
        </w:rPr>
        <w:t xml:space="preserve">; </w:t>
      </w:r>
      <w:proofErr w:type="spellStart"/>
      <w:r w:rsidRPr="00BF7BE4">
        <w:rPr>
          <w:i/>
        </w:rPr>
        <w:t>Quabaug</w:t>
      </w:r>
      <w:proofErr w:type="spellEnd"/>
      <w:r w:rsidRPr="00BF7BE4">
        <w:rPr>
          <w:i/>
        </w:rPr>
        <w:t xml:space="preserve"> Rubber Co. v. Fabiano Shoe Co.</w:t>
      </w:r>
      <w:r w:rsidRPr="00BF7BE4">
        <w:t>, 567 F.2d 154, 157 (1st Cir.</w:t>
      </w:r>
      <w:r>
        <w:rPr>
          <w:szCs w:val="24"/>
        </w:rPr>
        <w:t xml:space="preserve"> </w:t>
      </w:r>
      <w:r w:rsidRPr="00BF7BE4">
        <w:t>1977) (holding that</w:t>
      </w:r>
      <w:r>
        <w:t xml:space="preserve"> </w:t>
      </w:r>
      <w:r>
        <w:rPr>
          <w:szCs w:val="24"/>
        </w:rPr>
        <w:t>the</w:t>
      </w:r>
      <w:r w:rsidRPr="00BF7BE4">
        <w:rPr>
          <w:szCs w:val="24"/>
        </w:rPr>
        <w:t xml:space="preserve"> </w:t>
      </w:r>
      <w:r w:rsidRPr="00BF7BE4">
        <w:t>license granted</w:t>
      </w:r>
      <w:r w:rsidRPr="00BF7BE4">
        <w:rPr>
          <w:szCs w:val="24"/>
        </w:rPr>
        <w:t xml:space="preserve"> </w:t>
      </w:r>
      <w:r>
        <w:rPr>
          <w:szCs w:val="24"/>
        </w:rPr>
        <w:t>the</w:t>
      </w:r>
      <w:r>
        <w:t xml:space="preserve"> </w:t>
      </w:r>
      <w:r w:rsidRPr="00BF7BE4">
        <w:t>licensee “the right to enforce the licensed trademark rights against infringers in the United States”)</w:t>
      </w:r>
      <w:r>
        <w:t>.</w:t>
      </w:r>
      <w:bookmarkEnd w:id="0"/>
    </w:p>
    <w:p w14:paraId="1BC79AC6" w14:textId="77777777" w:rsidR="00C30C2C" w:rsidRDefault="00C30C2C"/>
    <w:p w14:paraId="037C751D" w14:textId="0AAF60D5" w:rsidR="0086073C" w:rsidRPr="003667A4" w:rsidRDefault="0086073C" w:rsidP="0086073C">
      <w:pPr>
        <w:jc w:val="right"/>
        <w:rPr>
          <w:i/>
          <w:iCs/>
        </w:rPr>
      </w:pPr>
      <w:r>
        <w:rPr>
          <w:i/>
          <w:iCs/>
        </w:rPr>
        <w:t>Revised March 2024</w:t>
      </w:r>
    </w:p>
    <w:sectPr w:rsidR="0086073C" w:rsidRPr="00366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YYM C+ Times New Roman,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3C"/>
    <w:rsid w:val="00235FFF"/>
    <w:rsid w:val="003667A4"/>
    <w:rsid w:val="00695F6A"/>
    <w:rsid w:val="006E771A"/>
    <w:rsid w:val="0086073C"/>
    <w:rsid w:val="00BC67C9"/>
    <w:rsid w:val="00C30C2C"/>
    <w:rsid w:val="00DB7C92"/>
    <w:rsid w:val="00E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50E3"/>
  <w15:chartTrackingRefBased/>
  <w15:docId w15:val="{92B81081-007C-4D23-B873-D09B6C1E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3C"/>
    <w:pPr>
      <w:autoSpaceDE w:val="0"/>
      <w:autoSpaceDN w:val="0"/>
      <w:adjustRightInd w:val="0"/>
    </w:pPr>
    <w:rPr>
      <w:kern w:val="0"/>
      <w:sz w:val="24"/>
      <w14:ligatures w14:val="none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6E771A"/>
    <w:pPr>
      <w:keepNext/>
      <w:keepLines/>
      <w:autoSpaceDE/>
      <w:autoSpaceDN/>
      <w:adjustRightInd/>
      <w:spacing w:before="240" w:line="259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E771A"/>
    <w:rPr>
      <w:rFonts w:eastAsiaTheme="majorEastAsia" w:cstheme="majorBidi"/>
      <w:b/>
      <w:color w:val="000000" w:themeColor="text1"/>
      <w:sz w:val="28"/>
      <w:szCs w:val="32"/>
    </w:rPr>
  </w:style>
  <w:style w:type="paragraph" w:styleId="Revision">
    <w:name w:val="Revision"/>
    <w:hidden/>
    <w:uiPriority w:val="99"/>
    <w:semiHidden/>
    <w:rsid w:val="0086073C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Samriddhi Rana</dc:creator>
  <cp:keywords/>
  <dc:description/>
  <cp:lastModifiedBy>Samriddhi Rana</cp:lastModifiedBy>
  <cp:revision>2</cp:revision>
  <dcterms:created xsi:type="dcterms:W3CDTF">2024-05-21T03:56:00Z</dcterms:created>
  <dcterms:modified xsi:type="dcterms:W3CDTF">2024-05-21T05:19:00Z</dcterms:modified>
</cp:coreProperties>
</file>