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D399" w14:textId="77777777" w:rsidR="001E2A9E" w:rsidRPr="0009095F" w:rsidRDefault="001E2A9E" w:rsidP="001E2A9E">
      <w:pPr>
        <w:jc w:val="center"/>
        <w:outlineLvl w:val="1"/>
        <w:rPr>
          <w:b/>
        </w:rPr>
      </w:pPr>
      <w:bookmarkStart w:id="0" w:name="_Hlk159244834"/>
      <w:r w:rsidRPr="0009095F">
        <w:rPr>
          <w:b/>
        </w:rPr>
        <w:t>15.17 Trademark Ownership—Merchant or Distributor</w:t>
      </w:r>
    </w:p>
    <w:p w14:paraId="68674522" w14:textId="77777777" w:rsidR="001E2A9E" w:rsidRPr="00BF7BE4" w:rsidRDefault="001E2A9E" w:rsidP="001E2A9E"/>
    <w:p w14:paraId="5CD41E2A" w14:textId="77777777" w:rsidR="001E2A9E" w:rsidRPr="00BF7BE4" w:rsidRDefault="001E2A9E" w:rsidP="001E2A9E">
      <w:r w:rsidRPr="00BF7BE4">
        <w:tab/>
        <w:t xml:space="preserve">A [merchant] [distributor] may own a trademark that identifies products the [merchant] [distributor] sells even though the products are manufactured by someone else. </w:t>
      </w:r>
    </w:p>
    <w:p w14:paraId="509611EA" w14:textId="77777777" w:rsidR="001E2A9E" w:rsidRPr="00BF7BE4" w:rsidRDefault="001E2A9E" w:rsidP="001E2A9E"/>
    <w:p w14:paraId="283A23FD" w14:textId="77777777" w:rsidR="001E2A9E" w:rsidRPr="00BF7BE4" w:rsidRDefault="001E2A9E" w:rsidP="001E2A9E">
      <w:pPr>
        <w:jc w:val="center"/>
      </w:pPr>
      <w:r w:rsidRPr="00BF7BE4">
        <w:rPr>
          <w:b/>
        </w:rPr>
        <w:t>Comment</w:t>
      </w:r>
    </w:p>
    <w:p w14:paraId="59835C8D" w14:textId="77777777" w:rsidR="001E2A9E" w:rsidRPr="00BF7BE4" w:rsidRDefault="001E2A9E" w:rsidP="001E2A9E"/>
    <w:p w14:paraId="1F827D8B" w14:textId="4C386A58" w:rsidR="001E2A9E" w:rsidRPr="00BF7BE4" w:rsidRDefault="001E2A9E" w:rsidP="001E2A9E">
      <w:r w:rsidRPr="00BF7BE4">
        <w:rPr>
          <w:rFonts w:ascii="VEYYM C+ Times New Roman," w:hAnsi="VEYYM C+ Times New Roman,"/>
        </w:rPr>
        <w:tab/>
      </w:r>
      <w:r w:rsidRPr="00BF7BE4">
        <w:t xml:space="preserve">When a dispute arises between a manufacturer and distributor, the courts first look to any agreement between the parties regarding trademark rights. </w:t>
      </w:r>
      <w:r w:rsidRPr="00BF7BE4">
        <w:rPr>
          <w:i/>
        </w:rPr>
        <w:t>Sengoku Works Ltd. v. RMC Int’l</w:t>
      </w:r>
      <w:r>
        <w:rPr>
          <w:i/>
          <w:iCs/>
          <w:szCs w:val="24"/>
        </w:rPr>
        <w:t>,</w:t>
      </w:r>
      <w:r w:rsidRPr="00BF7BE4">
        <w:rPr>
          <w:i/>
        </w:rPr>
        <w:t xml:space="preserve"> Ltd</w:t>
      </w:r>
      <w:r w:rsidRPr="00BF7BE4">
        <w:t>., 96 F.3d 1217, 1220-21 (9th Cir. 1996). In the absence of an agreement, the manufacturer is presumed to own the trademark.</w:t>
      </w:r>
      <w:r w:rsidRPr="0009095F">
        <w:rPr>
          <w:i/>
        </w:rPr>
        <w:t xml:space="preserve"> </w:t>
      </w:r>
      <w:r w:rsidRPr="00BF7BE4">
        <w:rPr>
          <w:i/>
        </w:rPr>
        <w:t xml:space="preserve">Id. See also </w:t>
      </w:r>
      <w:proofErr w:type="spellStart"/>
      <w:r w:rsidRPr="00BF7BE4">
        <w:rPr>
          <w:i/>
        </w:rPr>
        <w:t>Watec</w:t>
      </w:r>
      <w:proofErr w:type="spellEnd"/>
      <w:r w:rsidRPr="00BF7BE4">
        <w:rPr>
          <w:i/>
        </w:rPr>
        <w:t xml:space="preserve"> Co., Ltd. v. Liu</w:t>
      </w:r>
      <w:r w:rsidRPr="00BF7BE4">
        <w:t xml:space="preserve">, 403 F.3d 645, 652 (9th Cir. 2005) (noting that, in </w:t>
      </w:r>
      <w:r>
        <w:rPr>
          <w:szCs w:val="24"/>
        </w:rPr>
        <w:t xml:space="preserve">a </w:t>
      </w:r>
      <w:r w:rsidRPr="00BF7BE4">
        <w:t xml:space="preserve">case between </w:t>
      </w:r>
      <w:r>
        <w:rPr>
          <w:szCs w:val="24"/>
        </w:rPr>
        <w:t xml:space="preserve">a </w:t>
      </w:r>
      <w:r w:rsidRPr="00BF7BE4">
        <w:t xml:space="preserve">foreign manufacturer and </w:t>
      </w:r>
      <w:r>
        <w:rPr>
          <w:szCs w:val="24"/>
        </w:rPr>
        <w:t xml:space="preserve">a </w:t>
      </w:r>
      <w:r w:rsidRPr="00BF7BE4">
        <w:t>former exclusive American distributor who had</w:t>
      </w:r>
      <w:r>
        <w:t xml:space="preserve"> </w:t>
      </w:r>
      <w:r>
        <w:rPr>
          <w:szCs w:val="24"/>
        </w:rPr>
        <w:t>an</w:t>
      </w:r>
      <w:r w:rsidRPr="00BF7BE4">
        <w:rPr>
          <w:szCs w:val="24"/>
        </w:rPr>
        <w:t xml:space="preserve"> </w:t>
      </w:r>
      <w:r w:rsidRPr="00BF7BE4">
        <w:t xml:space="preserve">incontestably registered mark in U.S., one issue to consider as to ownership of </w:t>
      </w:r>
      <w:r>
        <w:rPr>
          <w:szCs w:val="24"/>
        </w:rPr>
        <w:t xml:space="preserve">the </w:t>
      </w:r>
      <w:r w:rsidRPr="00BF7BE4">
        <w:t xml:space="preserve">mark was whether </w:t>
      </w:r>
      <w:r>
        <w:rPr>
          <w:szCs w:val="24"/>
        </w:rPr>
        <w:t xml:space="preserve">the </w:t>
      </w:r>
      <w:r w:rsidRPr="00BF7BE4">
        <w:t xml:space="preserve">parties had entered into </w:t>
      </w:r>
      <w:r>
        <w:rPr>
          <w:szCs w:val="24"/>
        </w:rPr>
        <w:t xml:space="preserve">a </w:t>
      </w:r>
      <w:r w:rsidRPr="00BF7BE4">
        <w:t xml:space="preserve">contract that disposed of rights in </w:t>
      </w:r>
      <w:r>
        <w:t xml:space="preserve">the </w:t>
      </w:r>
      <w:r w:rsidRPr="00BF7BE4">
        <w:t>mark, and that issue was properly determined by</w:t>
      </w:r>
      <w:r w:rsidRPr="00BF7BE4">
        <w:rPr>
          <w:szCs w:val="24"/>
        </w:rPr>
        <w:t xml:space="preserve"> </w:t>
      </w:r>
      <w:r>
        <w:rPr>
          <w:szCs w:val="24"/>
        </w:rPr>
        <w:t>the</w:t>
      </w:r>
      <w:r>
        <w:t xml:space="preserve"> </w:t>
      </w:r>
      <w:r w:rsidRPr="00BF7BE4">
        <w:t>jury).</w:t>
      </w:r>
    </w:p>
    <w:p w14:paraId="6C16FBAF" w14:textId="77777777" w:rsidR="001E2A9E" w:rsidRPr="00BF7BE4" w:rsidRDefault="001E2A9E" w:rsidP="001E2A9E"/>
    <w:p w14:paraId="48C25FA3" w14:textId="48B9488F" w:rsidR="001E2A9E" w:rsidRPr="00BF7BE4" w:rsidRDefault="001E2A9E" w:rsidP="001E2A9E">
      <w:r w:rsidRPr="00BF7BE4">
        <w:tab/>
      </w:r>
      <w:r w:rsidRPr="00BF7BE4">
        <w:rPr>
          <w:szCs w:val="24"/>
        </w:rPr>
        <w:t>Th</w:t>
      </w:r>
      <w:r>
        <w:rPr>
          <w:szCs w:val="24"/>
        </w:rPr>
        <w:t>at</w:t>
      </w:r>
      <w:r w:rsidRPr="00BF7BE4">
        <w:t xml:space="preserve"> presumption</w:t>
      </w:r>
      <w:r>
        <w:rPr>
          <w:szCs w:val="24"/>
        </w:rPr>
        <w:t>—</w:t>
      </w:r>
      <w:r w:rsidRPr="00BF7BE4">
        <w:t>in the absence of an agreement the manufacturer is presumed to own the trademark</w:t>
      </w:r>
      <w:r>
        <w:rPr>
          <w:szCs w:val="24"/>
        </w:rPr>
        <w:t>—</w:t>
      </w:r>
      <w:r w:rsidRPr="00BF7BE4">
        <w:t xml:space="preserve">can be rebutted. </w:t>
      </w:r>
      <w:r w:rsidRPr="00BF7BE4">
        <w:rPr>
          <w:szCs w:val="24"/>
        </w:rPr>
        <w:t>T</w:t>
      </w:r>
      <w:r>
        <w:rPr>
          <w:szCs w:val="24"/>
        </w:rPr>
        <w:t>o rebut the presumption, t</w:t>
      </w:r>
      <w:r w:rsidRPr="00BF7BE4">
        <w:rPr>
          <w:szCs w:val="24"/>
        </w:rPr>
        <w:t xml:space="preserve">he </w:t>
      </w:r>
      <w:r w:rsidRPr="00BF7BE4">
        <w:t xml:space="preserve">following factors may be considered: </w:t>
      </w:r>
    </w:p>
    <w:p w14:paraId="63DBBBD1" w14:textId="77777777" w:rsidR="001E2A9E" w:rsidRPr="00BF7BE4" w:rsidRDefault="001E2A9E" w:rsidP="001E2A9E"/>
    <w:p w14:paraId="7FC12553" w14:textId="2B039073" w:rsidR="001E2A9E" w:rsidRPr="00BF7BE4" w:rsidRDefault="001E2A9E" w:rsidP="001E2A9E">
      <w:pPr>
        <w:ind w:left="1440" w:hanging="720"/>
      </w:pPr>
      <w:r>
        <w:rPr>
          <w:szCs w:val="24"/>
        </w:rPr>
        <w:t>(</w:t>
      </w:r>
      <w:r w:rsidRPr="00BF7BE4">
        <w:t>1</w:t>
      </w:r>
      <w:r>
        <w:rPr>
          <w:szCs w:val="24"/>
        </w:rPr>
        <w:t>)</w:t>
      </w:r>
      <w:r w:rsidRPr="00BF7BE4">
        <w:tab/>
        <w:t xml:space="preserve">which party invented and first affixed the mark to the </w:t>
      </w:r>
      <w:proofErr w:type="gramStart"/>
      <w:r w:rsidRPr="00BF7BE4">
        <w:t>product;</w:t>
      </w:r>
      <w:proofErr w:type="gramEnd"/>
    </w:p>
    <w:p w14:paraId="2FC1F0A4" w14:textId="77777777" w:rsidR="001E2A9E" w:rsidRPr="00BF7BE4" w:rsidRDefault="001E2A9E" w:rsidP="001E2A9E">
      <w:pPr>
        <w:ind w:left="1440" w:hanging="720"/>
      </w:pPr>
    </w:p>
    <w:p w14:paraId="3E39976C" w14:textId="42C95AD4" w:rsidR="001E2A9E" w:rsidRPr="00BF7BE4" w:rsidRDefault="001E2A9E" w:rsidP="001E2A9E">
      <w:pPr>
        <w:ind w:left="1440" w:hanging="720"/>
      </w:pPr>
      <w:r>
        <w:rPr>
          <w:szCs w:val="24"/>
        </w:rPr>
        <w:t>(</w:t>
      </w:r>
      <w:r w:rsidRPr="00BF7BE4">
        <w:t>2</w:t>
      </w:r>
      <w:r>
        <w:rPr>
          <w:szCs w:val="24"/>
        </w:rPr>
        <w:t>)</w:t>
      </w:r>
      <w:r w:rsidRPr="00BF7BE4">
        <w:tab/>
        <w:t xml:space="preserve">which party’s name appeared with the </w:t>
      </w:r>
      <w:proofErr w:type="gramStart"/>
      <w:r w:rsidRPr="00BF7BE4">
        <w:t>trademark;</w:t>
      </w:r>
      <w:proofErr w:type="gramEnd"/>
      <w:r w:rsidRPr="00BF7BE4">
        <w:t xml:space="preserve"> </w:t>
      </w:r>
    </w:p>
    <w:p w14:paraId="4272EDE4" w14:textId="77777777" w:rsidR="001E2A9E" w:rsidRPr="00BF7BE4" w:rsidRDefault="001E2A9E" w:rsidP="001E2A9E">
      <w:pPr>
        <w:ind w:left="1440" w:hanging="720"/>
      </w:pPr>
    </w:p>
    <w:p w14:paraId="4E1D0DA2" w14:textId="55416BAC" w:rsidR="001E2A9E" w:rsidRPr="00BF7BE4" w:rsidRDefault="001E2A9E" w:rsidP="001E2A9E">
      <w:pPr>
        <w:ind w:left="1440" w:hanging="720"/>
      </w:pPr>
      <w:r>
        <w:rPr>
          <w:szCs w:val="24"/>
        </w:rPr>
        <w:t>(</w:t>
      </w:r>
      <w:r w:rsidRPr="00BF7BE4">
        <w:t>3</w:t>
      </w:r>
      <w:r>
        <w:rPr>
          <w:szCs w:val="24"/>
        </w:rPr>
        <w:t>)</w:t>
      </w:r>
      <w:r w:rsidRPr="00BF7BE4">
        <w:tab/>
        <w:t xml:space="preserve">which party maintained the </w:t>
      </w:r>
      <w:r>
        <w:rPr>
          <w:szCs w:val="24"/>
        </w:rPr>
        <w:t xml:space="preserve">product’s </w:t>
      </w:r>
      <w:r w:rsidRPr="00BF7BE4">
        <w:t xml:space="preserve">quality and </w:t>
      </w:r>
      <w:proofErr w:type="gramStart"/>
      <w:r w:rsidRPr="00BF7BE4">
        <w:t>uniformity;</w:t>
      </w:r>
      <w:proofErr w:type="gramEnd"/>
      <w:r w:rsidRPr="00BF7BE4">
        <w:t xml:space="preserve"> </w:t>
      </w:r>
    </w:p>
    <w:p w14:paraId="4BA0D678" w14:textId="77777777" w:rsidR="001E2A9E" w:rsidRPr="00BF7BE4" w:rsidRDefault="001E2A9E" w:rsidP="001E2A9E">
      <w:pPr>
        <w:ind w:left="1440" w:hanging="720"/>
      </w:pPr>
    </w:p>
    <w:p w14:paraId="74509288" w14:textId="49CC8A7D" w:rsidR="001E2A9E" w:rsidRPr="00BF7BE4" w:rsidRDefault="001E2A9E" w:rsidP="001E2A9E">
      <w:pPr>
        <w:ind w:left="1440" w:hanging="720"/>
      </w:pPr>
      <w:r>
        <w:rPr>
          <w:szCs w:val="24"/>
        </w:rPr>
        <w:t>(</w:t>
      </w:r>
      <w:r w:rsidRPr="00BF7BE4">
        <w:t>4</w:t>
      </w:r>
      <w:r>
        <w:rPr>
          <w:szCs w:val="24"/>
        </w:rPr>
        <w:t>)</w:t>
      </w:r>
      <w:r w:rsidRPr="00BF7BE4">
        <w:tab/>
        <w:t xml:space="preserve">which party does the public identify with the product and make complaints to; and </w:t>
      </w:r>
    </w:p>
    <w:p w14:paraId="52125C8C" w14:textId="77777777" w:rsidR="001E2A9E" w:rsidRPr="00BF7BE4" w:rsidRDefault="001E2A9E" w:rsidP="001E2A9E">
      <w:pPr>
        <w:ind w:left="1440" w:hanging="720"/>
      </w:pPr>
    </w:p>
    <w:p w14:paraId="25754B7D" w14:textId="0E4D6DC1" w:rsidR="001E2A9E" w:rsidRPr="00BF7BE4" w:rsidRDefault="001E2A9E" w:rsidP="001E2A9E">
      <w:pPr>
        <w:ind w:left="1440" w:hanging="720"/>
      </w:pPr>
      <w:r>
        <w:rPr>
          <w:szCs w:val="24"/>
        </w:rPr>
        <w:t>(</w:t>
      </w:r>
      <w:r w:rsidRPr="00BF7BE4">
        <w:t>5</w:t>
      </w:r>
      <w:r>
        <w:rPr>
          <w:szCs w:val="24"/>
        </w:rPr>
        <w:t>)</w:t>
      </w:r>
      <w:r w:rsidRPr="00BF7BE4">
        <w:tab/>
        <w:t xml:space="preserve">which party possesses the </w:t>
      </w:r>
      <w:r w:rsidRPr="00BF7BE4">
        <w:rPr>
          <w:szCs w:val="24"/>
        </w:rPr>
        <w:t>goodwill</w:t>
      </w:r>
      <w:r w:rsidRPr="00BF7BE4">
        <w:t xml:space="preserve"> associated with the product.</w:t>
      </w:r>
    </w:p>
    <w:p w14:paraId="1FDDD214" w14:textId="77777777" w:rsidR="001E2A9E" w:rsidRPr="00BF7BE4" w:rsidRDefault="001E2A9E" w:rsidP="001E2A9E"/>
    <w:p w14:paraId="1BD110AD" w14:textId="5F000070" w:rsidR="001E2A9E" w:rsidRPr="00BF7BE4" w:rsidRDefault="001E2A9E" w:rsidP="001E2A9E">
      <w:r w:rsidRPr="00BF7BE4">
        <w:tab/>
      </w:r>
      <w:r w:rsidRPr="00BF7BE4">
        <w:rPr>
          <w:i/>
        </w:rPr>
        <w:t>See Sengoku Works Ltd</w:t>
      </w:r>
      <w:r>
        <w:rPr>
          <w:i/>
          <w:iCs/>
          <w:szCs w:val="24"/>
        </w:rPr>
        <w:t>.</w:t>
      </w:r>
      <w:r w:rsidRPr="00BF7BE4">
        <w:rPr>
          <w:szCs w:val="24"/>
        </w:rPr>
        <w:t>,</w:t>
      </w:r>
      <w:r w:rsidRPr="00BF7BE4">
        <w:t xml:space="preserve"> 96 F.3d at 1220-21</w:t>
      </w:r>
      <w:r>
        <w:rPr>
          <w:szCs w:val="24"/>
        </w:rPr>
        <w:t>,</w:t>
      </w:r>
      <w:r w:rsidRPr="00BF7BE4">
        <w:t xml:space="preserve"> and </w:t>
      </w:r>
      <w:r w:rsidRPr="00BF7BE4">
        <w:rPr>
          <w:i/>
        </w:rPr>
        <w:t xml:space="preserve">Premier Dental </w:t>
      </w:r>
      <w:r w:rsidRPr="00BF7BE4">
        <w:rPr>
          <w:i/>
          <w:iCs/>
          <w:szCs w:val="24"/>
        </w:rPr>
        <w:t>Prods</w:t>
      </w:r>
      <w:r>
        <w:rPr>
          <w:i/>
          <w:iCs/>
          <w:szCs w:val="24"/>
        </w:rPr>
        <w:t>. Co.</w:t>
      </w:r>
      <w:r w:rsidRPr="00BF7BE4">
        <w:rPr>
          <w:i/>
        </w:rPr>
        <w:t xml:space="preserve"> v. Darby Dental Supply Co</w:t>
      </w:r>
      <w:r w:rsidRPr="00BF7BE4">
        <w:t>., 794 F.2d 850, 853-54 (3d Cir.</w:t>
      </w:r>
      <w:r>
        <w:rPr>
          <w:szCs w:val="24"/>
        </w:rPr>
        <w:t xml:space="preserve"> </w:t>
      </w:r>
      <w:r w:rsidRPr="00BF7BE4">
        <w:t>1986).</w:t>
      </w:r>
    </w:p>
    <w:bookmarkEnd w:id="0"/>
    <w:p w14:paraId="0BC94D4E" w14:textId="77777777" w:rsidR="00C30C2C" w:rsidRDefault="00C30C2C"/>
    <w:p w14:paraId="724ECE23" w14:textId="7CE9DFCD" w:rsidR="001E2A9E" w:rsidRPr="00FF1546" w:rsidRDefault="001E2A9E" w:rsidP="001E2A9E">
      <w:pPr>
        <w:jc w:val="right"/>
        <w:rPr>
          <w:i/>
          <w:iCs/>
        </w:rPr>
      </w:pPr>
      <w:r>
        <w:rPr>
          <w:i/>
          <w:iCs/>
        </w:rPr>
        <w:t>Revised March 2024</w:t>
      </w:r>
    </w:p>
    <w:sectPr w:rsidR="001E2A9E" w:rsidRPr="00FF15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YYM C+ Times New Roman,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9E"/>
    <w:rsid w:val="001E2A9E"/>
    <w:rsid w:val="00235FFF"/>
    <w:rsid w:val="00695F6A"/>
    <w:rsid w:val="006E771A"/>
    <w:rsid w:val="00BC67C9"/>
    <w:rsid w:val="00C30C2C"/>
    <w:rsid w:val="00DB7C92"/>
    <w:rsid w:val="00EB3BF7"/>
    <w:rsid w:val="00FF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F7AE1"/>
  <w15:chartTrackingRefBased/>
  <w15:docId w15:val="{F6E5990E-CFE9-44BB-AE1F-E13C713A8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2A9E"/>
    <w:pPr>
      <w:autoSpaceDE w:val="0"/>
      <w:autoSpaceDN w:val="0"/>
      <w:adjustRightInd w:val="0"/>
    </w:pPr>
    <w:rPr>
      <w:kern w:val="0"/>
      <w:sz w:val="24"/>
      <w14:ligatures w14:val="none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6E771A"/>
    <w:pPr>
      <w:keepNext/>
      <w:keepLines/>
      <w:autoSpaceDE/>
      <w:autoSpaceDN/>
      <w:adjustRightInd/>
      <w:spacing w:before="240" w:line="259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6E771A"/>
    <w:rPr>
      <w:rFonts w:eastAsiaTheme="majorEastAsia" w:cstheme="majorBidi"/>
      <w:b/>
      <w:color w:val="000000" w:themeColor="text1"/>
      <w:sz w:val="28"/>
      <w:szCs w:val="32"/>
    </w:rPr>
  </w:style>
  <w:style w:type="paragraph" w:styleId="Revision">
    <w:name w:val="Revision"/>
    <w:hidden/>
    <w:uiPriority w:val="99"/>
    <w:semiHidden/>
    <w:rsid w:val="001E2A9E"/>
    <w:rPr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Samriddhi Rana</dc:creator>
  <cp:keywords/>
  <dc:description/>
  <cp:lastModifiedBy>Samriddhi Rana</cp:lastModifiedBy>
  <cp:revision>2</cp:revision>
  <dcterms:created xsi:type="dcterms:W3CDTF">2024-05-21T03:57:00Z</dcterms:created>
  <dcterms:modified xsi:type="dcterms:W3CDTF">2024-05-21T05:19:00Z</dcterms:modified>
</cp:coreProperties>
</file>