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D99A" w14:textId="77777777" w:rsidR="00206AF4" w:rsidRPr="00206AF4" w:rsidRDefault="00206AF4" w:rsidP="00206AF4">
      <w:pPr>
        <w:autoSpaceDE w:val="0"/>
        <w:autoSpaceDN w:val="0"/>
        <w:adjustRightInd w:val="0"/>
        <w:spacing w:after="0" w:line="240" w:lineRule="auto"/>
        <w:jc w:val="center"/>
        <w:rPr>
          <w:rFonts w:ascii="Times New Roman" w:hAnsi="Times New Roman" w:cs="Times New Roman"/>
          <w:b/>
          <w:bCs/>
          <w:sz w:val="24"/>
          <w:szCs w:val="24"/>
        </w:rPr>
      </w:pPr>
      <w:r w:rsidRPr="00206AF4">
        <w:rPr>
          <w:rFonts w:ascii="Times New Roman" w:hAnsi="Times New Roman" w:cs="Times New Roman"/>
          <w:sz w:val="24"/>
          <w:szCs w:val="24"/>
          <w:lang w:val="en-CA"/>
        </w:rPr>
        <w:fldChar w:fldCharType="begin"/>
      </w:r>
      <w:r w:rsidRPr="00206AF4">
        <w:rPr>
          <w:rFonts w:ascii="Times New Roman" w:hAnsi="Times New Roman" w:cs="Times New Roman"/>
          <w:sz w:val="24"/>
          <w:szCs w:val="24"/>
          <w:lang w:val="en-CA"/>
        </w:rPr>
        <w:instrText xml:space="preserve"> SEQ CHAPTER \h \r 1</w:instrText>
      </w:r>
      <w:r w:rsidRPr="00206AF4">
        <w:rPr>
          <w:rFonts w:ascii="Times New Roman" w:hAnsi="Times New Roman" w:cs="Times New Roman"/>
          <w:sz w:val="24"/>
          <w:szCs w:val="24"/>
          <w:lang w:val="en-CA"/>
        </w:rPr>
        <w:fldChar w:fldCharType="end"/>
      </w:r>
      <w:proofErr w:type="gramStart"/>
      <w:r w:rsidRPr="00206AF4">
        <w:rPr>
          <w:rFonts w:ascii="Times New Roman" w:hAnsi="Times New Roman" w:cs="Times New Roman"/>
          <w:b/>
          <w:bCs/>
          <w:sz w:val="24"/>
          <w:szCs w:val="24"/>
        </w:rPr>
        <w:t>15.18  INFRINGEMENT</w:t>
      </w:r>
      <w:proofErr w:type="gramEnd"/>
      <w:r w:rsidRPr="00206AF4">
        <w:rPr>
          <w:rFonts w:ascii="Times New Roman" w:hAnsi="Times New Roman" w:cs="Times New Roman"/>
          <w:b/>
          <w:bCs/>
          <w:sz w:val="24"/>
          <w:szCs w:val="24"/>
        </w:rPr>
        <w:t xml:space="preserve">—LIKELIHOOD OF CONFUSION—FACTORS— </w:t>
      </w:r>
      <w:r w:rsidRPr="00206AF4">
        <w:rPr>
          <w:rFonts w:ascii="Times New Roman" w:hAnsi="Times New Roman" w:cs="Times New Roman"/>
          <w:b/>
          <w:bCs/>
          <w:i/>
          <w:iCs/>
          <w:sz w:val="24"/>
          <w:szCs w:val="24"/>
        </w:rPr>
        <w:t>SLEEKCRAFT</w:t>
      </w:r>
      <w:r w:rsidRPr="00206AF4">
        <w:rPr>
          <w:rFonts w:ascii="Times New Roman" w:hAnsi="Times New Roman" w:cs="Times New Roman"/>
          <w:b/>
          <w:bCs/>
          <w:sz w:val="24"/>
          <w:szCs w:val="24"/>
        </w:rPr>
        <w:t xml:space="preserve"> TEST (15 U.S.C. §§ 1114(1) and 1125(a))</w:t>
      </w:r>
    </w:p>
    <w:p w14:paraId="285BB466" w14:textId="77777777" w:rsidR="00206AF4" w:rsidRPr="00206AF4" w:rsidRDefault="00206AF4" w:rsidP="00206AF4">
      <w:pPr>
        <w:autoSpaceDE w:val="0"/>
        <w:autoSpaceDN w:val="0"/>
        <w:adjustRightInd w:val="0"/>
        <w:spacing w:after="0" w:line="240" w:lineRule="auto"/>
        <w:rPr>
          <w:rFonts w:ascii="Times New Roman" w:hAnsi="Times New Roman" w:cs="Times New Roman"/>
          <w:b/>
          <w:bCs/>
          <w:sz w:val="24"/>
          <w:szCs w:val="24"/>
        </w:rPr>
      </w:pPr>
    </w:p>
    <w:p w14:paraId="61248385"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r>
      <w:bookmarkStart w:id="0" w:name="_Hlk86421311"/>
      <w:r w:rsidRPr="00206AF4">
        <w:rPr>
          <w:rFonts w:ascii="Times New Roman" w:hAnsi="Times New Roman" w:cs="Times New Roman"/>
          <w:sz w:val="24"/>
          <w:szCs w:val="24"/>
        </w:rPr>
        <w:t xml:space="preserve">You must consider whether the defendant’s use of the trademark is likely to cause confusion about the source of the plaintiff’s or the defendant’s goods. </w:t>
      </w:r>
    </w:p>
    <w:p w14:paraId="50D676AF"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4E93EA98"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I will suggest some factors you should consider in deciding this. The presence or absence of any </w:t>
      </w:r>
      <w:proofErr w:type="gramStart"/>
      <w:r w:rsidRPr="00206AF4">
        <w:rPr>
          <w:rFonts w:ascii="Times New Roman" w:hAnsi="Times New Roman" w:cs="Times New Roman"/>
          <w:sz w:val="24"/>
          <w:szCs w:val="24"/>
        </w:rPr>
        <w:t>particular factor</w:t>
      </w:r>
      <w:proofErr w:type="gramEnd"/>
      <w:r w:rsidRPr="00206AF4">
        <w:rPr>
          <w:rFonts w:ascii="Times New Roman" w:hAnsi="Times New Roman" w:cs="Times New Roman"/>
          <w:sz w:val="24"/>
          <w:szCs w:val="24"/>
        </w:rPr>
        <w:t xml:space="preserve"> that I suggest should not necessarily resolve whether there was a likelihood of confusion, because you must consider all relevant evidence in determining this. As you consider the likelihood of confusion you should examine the following: </w:t>
      </w:r>
    </w:p>
    <w:p w14:paraId="1B9BACF3"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3E46B70D"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(1)</w:t>
      </w:r>
      <w:r w:rsidRPr="00206AF4">
        <w:rPr>
          <w:rFonts w:ascii="Times New Roman" w:hAnsi="Times New Roman" w:cs="Times New Roman"/>
          <w:sz w:val="24"/>
          <w:szCs w:val="24"/>
        </w:rPr>
        <w:tab/>
        <w:t>Strength or Weakness of the Plaintiff’s Mark.  The more the consuming public recognizes the plaintiff’s trademark as an indication of origin of the plaintiff’s goods, the more likely it is that consumers would be confused about the source of the defendant’s goods if the defendant uses a similar mark.</w:t>
      </w:r>
    </w:p>
    <w:p w14:paraId="39E94038"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44517DA9"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(2)</w:t>
      </w:r>
      <w:r w:rsidRPr="00206AF4">
        <w:rPr>
          <w:rFonts w:ascii="Times New Roman" w:hAnsi="Times New Roman" w:cs="Times New Roman"/>
          <w:sz w:val="24"/>
          <w:szCs w:val="24"/>
        </w:rPr>
        <w:tab/>
        <w:t>Defendant’s Use of the Mark.  If the defendant and plaintiff use their trademarks on the same, related, or complementary kinds of goods there may be a greater likelihood of confusion about the source of the goods than otherwise.</w:t>
      </w:r>
    </w:p>
    <w:p w14:paraId="054E83A8"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301D6D8B"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(3)</w:t>
      </w:r>
      <w:r w:rsidRPr="00206AF4">
        <w:rPr>
          <w:rFonts w:ascii="Times New Roman" w:hAnsi="Times New Roman" w:cs="Times New Roman"/>
          <w:sz w:val="24"/>
          <w:szCs w:val="24"/>
        </w:rPr>
        <w:tab/>
        <w:t xml:space="preserve">Similarity of Plaintiff’s and Defendant’s Marks.  If the overall impression created by the plaintiff’s trademark in the marketplace is </w:t>
      </w:r>
      <w:proofErr w:type="gramStart"/>
      <w:r w:rsidRPr="00206AF4">
        <w:rPr>
          <w:rFonts w:ascii="Times New Roman" w:hAnsi="Times New Roman" w:cs="Times New Roman"/>
          <w:sz w:val="24"/>
          <w:szCs w:val="24"/>
        </w:rPr>
        <w:t>similar to</w:t>
      </w:r>
      <w:proofErr w:type="gramEnd"/>
      <w:r w:rsidRPr="00206AF4">
        <w:rPr>
          <w:rFonts w:ascii="Times New Roman" w:hAnsi="Times New Roman" w:cs="Times New Roman"/>
          <w:sz w:val="24"/>
          <w:szCs w:val="24"/>
        </w:rPr>
        <w:t xml:space="preserve"> that created by the defendant’s trademark in [appearance] [sound] [or] [meaning], there is a greater chance [that consumers are likely to be confused by defendant’s use of a mark] [of likelihood of confusion].  [Similarities in appearance, sound or meaning weigh more heavily than differences in finding the marks are similar.] </w:t>
      </w:r>
    </w:p>
    <w:p w14:paraId="74003919"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479B587C"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(4)</w:t>
      </w:r>
      <w:r w:rsidRPr="00206AF4">
        <w:rPr>
          <w:rFonts w:ascii="Times New Roman" w:hAnsi="Times New Roman" w:cs="Times New Roman"/>
          <w:sz w:val="24"/>
          <w:szCs w:val="24"/>
        </w:rPr>
        <w:tab/>
        <w:t>Actual Confusion.  If use by the defendant of the plaintiff’s trademark has led to instances of actual confusion, this strongly suggests a likelihood of confusion. However actual confusion is not required for a finding of likelihood of confusion.  Even if actual confusion did not occur, the defendant’s use of the trademark may still be likely to cause confusion.  As you consider whether the trademark used by the defendant creates for consumers a likelihood of confusion with the plaintiff’s trademark, you should weigh any instances of actual confusion against the opportunities for such confusion.  If the instances of actual confusion have been relatively frequent, you may find that there has been substantial actual confusion.  If, by contrast, there is a very large volume of sales, but only a few isolated instances of actual confusion you may find that there has not been substantial actual confusion.</w:t>
      </w:r>
    </w:p>
    <w:p w14:paraId="2D9E762C"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332849C1"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(5)</w:t>
      </w:r>
      <w:r w:rsidRPr="00206AF4">
        <w:rPr>
          <w:rFonts w:ascii="Times New Roman" w:hAnsi="Times New Roman" w:cs="Times New Roman"/>
          <w:sz w:val="24"/>
          <w:szCs w:val="24"/>
        </w:rPr>
        <w:tab/>
        <w:t xml:space="preserve">Defendant’s Intent.  Knowing use by defendant of the plaintiff’s trademark to identify similar goods may strongly show an intent to derive </w:t>
      </w:r>
      <w:r w:rsidRPr="00206AF4">
        <w:rPr>
          <w:rFonts w:ascii="Times New Roman" w:hAnsi="Times New Roman" w:cs="Times New Roman"/>
          <w:sz w:val="24"/>
          <w:szCs w:val="24"/>
        </w:rPr>
        <w:lastRenderedPageBreak/>
        <w:t>benefit from the reputation of the plaintiff’s mark, suggesting an intent to cause a likelihood of confusion.  On the other hand, even in the absence of proof that the defendant acted knowingly, the use of plaintiff’s trademark to identify similar goods may indicate a likelihood of confusion.</w:t>
      </w:r>
    </w:p>
    <w:p w14:paraId="2BA24DCD"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0C8F7F67"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(6)</w:t>
      </w:r>
      <w:r w:rsidRPr="00206AF4">
        <w:rPr>
          <w:rFonts w:ascii="Times New Roman" w:hAnsi="Times New Roman" w:cs="Times New Roman"/>
          <w:sz w:val="24"/>
          <w:szCs w:val="24"/>
        </w:rPr>
        <w:tab/>
        <w:t xml:space="preserve">Marketing/Advertising Channels.  If the plaintiff’s and defendant’s [goods] [services] are likely to be sold in the same or similar stores or outlets, or advertised in similar media, this may increase the likelihood of confusion. </w:t>
      </w:r>
    </w:p>
    <w:p w14:paraId="7817424B"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2F573A12"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(7)</w:t>
      </w:r>
      <w:r w:rsidRPr="00206AF4">
        <w:rPr>
          <w:rFonts w:ascii="Times New Roman" w:hAnsi="Times New Roman" w:cs="Times New Roman"/>
          <w:sz w:val="24"/>
          <w:szCs w:val="24"/>
        </w:rPr>
        <w:tab/>
        <w:t>Consumer’s Degree of Care.  The more sophisticated the potential buyers of the goods or the more costly the goods, the more careful and discriminating the reasonably prudent purchaser exercising ordinary caution may be.  They may be less likely to be confused by similarities in the plaintiff’s and defendant’s trademarks.</w:t>
      </w:r>
    </w:p>
    <w:p w14:paraId="405BA413"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16B23716" w14:textId="77777777" w:rsidR="00206AF4" w:rsidRPr="00206AF4" w:rsidRDefault="00206AF4" w:rsidP="00206AF4">
      <w:pPr>
        <w:autoSpaceDE w:val="0"/>
        <w:autoSpaceDN w:val="0"/>
        <w:adjustRightInd w:val="0"/>
        <w:spacing w:after="0" w:line="240" w:lineRule="auto"/>
        <w:ind w:left="1440" w:right="720" w:hanging="720"/>
        <w:rPr>
          <w:rFonts w:ascii="Times New Roman" w:hAnsi="Times New Roman" w:cs="Times New Roman"/>
          <w:sz w:val="24"/>
          <w:szCs w:val="24"/>
        </w:rPr>
      </w:pPr>
      <w:r w:rsidRPr="00206AF4">
        <w:rPr>
          <w:rFonts w:ascii="Times New Roman" w:hAnsi="Times New Roman" w:cs="Times New Roman"/>
          <w:sz w:val="24"/>
          <w:szCs w:val="24"/>
        </w:rPr>
        <w:t>(8)</w:t>
      </w:r>
      <w:r w:rsidRPr="00206AF4">
        <w:rPr>
          <w:rFonts w:ascii="Times New Roman" w:hAnsi="Times New Roman" w:cs="Times New Roman"/>
          <w:sz w:val="24"/>
          <w:szCs w:val="24"/>
        </w:rPr>
        <w:tab/>
        <w:t>Product Line Expansion. When the parties’ products differ, you may consider how likely the plaintiff is to begin selling the products for which the defendant is using the plaintiff’s trademark. If there is a strong possibility of expanding into the other party’s market, there is a greater likelihood of confusion.</w:t>
      </w:r>
    </w:p>
    <w:p w14:paraId="4DF7F3B9" w14:textId="77777777" w:rsidR="00206AF4" w:rsidRPr="00206AF4" w:rsidRDefault="00206AF4" w:rsidP="00206AF4">
      <w:pPr>
        <w:autoSpaceDE w:val="0"/>
        <w:autoSpaceDN w:val="0"/>
        <w:adjustRightInd w:val="0"/>
        <w:spacing w:after="0" w:line="240" w:lineRule="auto"/>
        <w:ind w:right="720"/>
        <w:rPr>
          <w:rFonts w:ascii="Times New Roman" w:hAnsi="Times New Roman" w:cs="Times New Roman"/>
          <w:sz w:val="24"/>
          <w:szCs w:val="24"/>
        </w:rPr>
      </w:pPr>
    </w:p>
    <w:p w14:paraId="3C4DEAE8" w14:textId="77777777" w:rsidR="00206AF4" w:rsidRPr="00206AF4" w:rsidRDefault="00206AF4" w:rsidP="00206AF4">
      <w:pPr>
        <w:tabs>
          <w:tab w:val="left" w:pos="720"/>
          <w:tab w:val="left" w:pos="1440"/>
        </w:tabs>
        <w:autoSpaceDE w:val="0"/>
        <w:autoSpaceDN w:val="0"/>
        <w:adjustRightInd w:val="0"/>
        <w:spacing w:after="0" w:line="240" w:lineRule="auto"/>
        <w:ind w:left="1440" w:right="720" w:hanging="1440"/>
        <w:rPr>
          <w:rFonts w:ascii="Times New Roman" w:hAnsi="Times New Roman" w:cs="Times New Roman"/>
          <w:sz w:val="24"/>
          <w:szCs w:val="24"/>
        </w:rPr>
      </w:pPr>
      <w:r w:rsidRPr="00206AF4">
        <w:rPr>
          <w:rFonts w:ascii="Times New Roman" w:hAnsi="Times New Roman" w:cs="Times New Roman"/>
          <w:sz w:val="24"/>
          <w:szCs w:val="24"/>
        </w:rPr>
        <w:tab/>
        <w:t>[(9)</w:t>
      </w:r>
      <w:r w:rsidRPr="00206AF4">
        <w:rPr>
          <w:rFonts w:ascii="Times New Roman" w:hAnsi="Times New Roman" w:cs="Times New Roman"/>
          <w:sz w:val="24"/>
          <w:szCs w:val="24"/>
        </w:rPr>
        <w:tab/>
        <w:t xml:space="preserve">Other Factors.  </w:t>
      </w:r>
      <w:r w:rsidRPr="00206AF4">
        <w:rPr>
          <w:rFonts w:ascii="Times New Roman" w:hAnsi="Times New Roman" w:cs="Times New Roman"/>
          <w:i/>
          <w:iCs/>
          <w:sz w:val="24"/>
          <w:szCs w:val="24"/>
          <w:u w:val="single"/>
        </w:rPr>
        <w:t>Insert any other factors that bear on likelihood of confusion</w:t>
      </w:r>
      <w:r w:rsidRPr="00206AF4">
        <w:rPr>
          <w:rFonts w:ascii="Times New Roman" w:hAnsi="Times New Roman" w:cs="Times New Roman"/>
          <w:sz w:val="24"/>
          <w:szCs w:val="24"/>
        </w:rPr>
        <w:t xml:space="preserve">.] </w:t>
      </w:r>
    </w:p>
    <w:p w14:paraId="143992F0" w14:textId="77777777" w:rsidR="00206AF4" w:rsidRPr="00206AF4" w:rsidRDefault="00206AF4" w:rsidP="00206AF4">
      <w:pPr>
        <w:autoSpaceDE w:val="0"/>
        <w:autoSpaceDN w:val="0"/>
        <w:adjustRightInd w:val="0"/>
        <w:spacing w:after="0" w:line="240" w:lineRule="auto"/>
        <w:jc w:val="center"/>
        <w:rPr>
          <w:rFonts w:ascii="Times New Roman" w:hAnsi="Times New Roman" w:cs="Times New Roman"/>
          <w:b/>
          <w:bCs/>
          <w:sz w:val="24"/>
          <w:szCs w:val="24"/>
        </w:rPr>
      </w:pPr>
    </w:p>
    <w:p w14:paraId="7FC6ADB1" w14:textId="77777777" w:rsidR="00206AF4" w:rsidRPr="00206AF4" w:rsidRDefault="00206AF4" w:rsidP="00206AF4">
      <w:pPr>
        <w:autoSpaceDE w:val="0"/>
        <w:autoSpaceDN w:val="0"/>
        <w:adjustRightInd w:val="0"/>
        <w:spacing w:after="0" w:line="240" w:lineRule="auto"/>
        <w:jc w:val="center"/>
        <w:rPr>
          <w:rFonts w:ascii="Times New Roman" w:hAnsi="Times New Roman" w:cs="Times New Roman"/>
          <w:b/>
          <w:bCs/>
          <w:sz w:val="24"/>
          <w:szCs w:val="24"/>
        </w:rPr>
      </w:pPr>
      <w:r w:rsidRPr="00206AF4">
        <w:rPr>
          <w:rFonts w:ascii="Times New Roman" w:hAnsi="Times New Roman" w:cs="Times New Roman"/>
          <w:b/>
          <w:bCs/>
          <w:sz w:val="24"/>
          <w:szCs w:val="24"/>
        </w:rPr>
        <w:t xml:space="preserve">Comment </w:t>
      </w:r>
    </w:p>
    <w:p w14:paraId="04025B76"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697B7097" w14:textId="3B49F970"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The Ninth Circuit has often reaffirmed the validity of the eight-factor test from</w:t>
      </w:r>
      <w:r w:rsidRPr="00206AF4">
        <w:rPr>
          <w:rFonts w:ascii="Times New Roman" w:hAnsi="Times New Roman" w:cs="Times New Roman"/>
          <w:i/>
          <w:iCs/>
          <w:sz w:val="24"/>
          <w:szCs w:val="24"/>
        </w:rPr>
        <w:t xml:space="preserve"> AMF Inc. v.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i/>
          <w:iCs/>
          <w:sz w:val="24"/>
          <w:szCs w:val="24"/>
        </w:rPr>
        <w:t xml:space="preserve"> Boats</w:t>
      </w:r>
      <w:r w:rsidRPr="00206AF4">
        <w:rPr>
          <w:rFonts w:ascii="Times New Roman" w:hAnsi="Times New Roman" w:cs="Times New Roman"/>
          <w:sz w:val="24"/>
          <w:szCs w:val="24"/>
        </w:rPr>
        <w:t>, 599 F.2d 341, 348-49 (9th Cir. 1979), that is covered in this instruction</w:t>
      </w:r>
      <w:r w:rsidRPr="00206AF4">
        <w:rPr>
          <w:rFonts w:ascii="Times New Roman" w:hAnsi="Times New Roman" w:cs="Times New Roman"/>
          <w:i/>
          <w:iCs/>
          <w:sz w:val="24"/>
          <w:szCs w:val="24"/>
        </w:rPr>
        <w:t>.  See Multi Time Machine, Inc. v. Amazon.com, Inc.</w:t>
      </w:r>
      <w:r w:rsidRPr="00206AF4">
        <w:rPr>
          <w:rFonts w:ascii="Times New Roman" w:hAnsi="Times New Roman" w:cs="Times New Roman"/>
          <w:sz w:val="24"/>
          <w:szCs w:val="24"/>
        </w:rPr>
        <w:t>, 792 F.3d 1070, 1074 (9th Cir. 2015),</w:t>
      </w:r>
      <w:r w:rsidRPr="00206AF4">
        <w:rPr>
          <w:rFonts w:ascii="Times New Roman" w:hAnsi="Times New Roman" w:cs="Times New Roman"/>
          <w:i/>
          <w:iCs/>
          <w:sz w:val="24"/>
          <w:szCs w:val="24"/>
        </w:rPr>
        <w:t xml:space="preserve"> opinion withdrawn</w:t>
      </w:r>
      <w:r w:rsidRPr="00206AF4">
        <w:rPr>
          <w:rFonts w:ascii="Times New Roman" w:hAnsi="Times New Roman" w:cs="Times New Roman"/>
          <w:sz w:val="24"/>
          <w:szCs w:val="24"/>
        </w:rPr>
        <w:t xml:space="preserve">, </w:t>
      </w:r>
      <w:r w:rsidRPr="00206AF4">
        <w:rPr>
          <w:rFonts w:ascii="Times New Roman" w:hAnsi="Times New Roman" w:cs="Times New Roman"/>
          <w:i/>
          <w:iCs/>
          <w:sz w:val="24"/>
          <w:szCs w:val="24"/>
        </w:rPr>
        <w:t xml:space="preserve">see </w:t>
      </w:r>
      <w:r w:rsidRPr="00206AF4">
        <w:rPr>
          <w:rFonts w:ascii="Times New Roman" w:hAnsi="Times New Roman" w:cs="Times New Roman"/>
          <w:sz w:val="24"/>
          <w:szCs w:val="24"/>
        </w:rPr>
        <w:t xml:space="preserve">801 F.3d 930, 935 n.1 (9th Cir. 2015), </w:t>
      </w:r>
      <w:r w:rsidRPr="00206AF4">
        <w:rPr>
          <w:rFonts w:ascii="Times New Roman" w:hAnsi="Times New Roman" w:cs="Times New Roman"/>
          <w:i/>
          <w:iCs/>
          <w:sz w:val="24"/>
          <w:szCs w:val="24"/>
        </w:rPr>
        <w:t>cert. denied</w:t>
      </w:r>
      <w:r w:rsidRPr="00206AF4">
        <w:rPr>
          <w:rFonts w:ascii="Times New Roman" w:hAnsi="Times New Roman" w:cs="Times New Roman"/>
          <w:sz w:val="24"/>
          <w:szCs w:val="24"/>
        </w:rPr>
        <w:t xml:space="preserve">, 136 S. Ct. 1231 (2016) (applying “eight non-exhaustive factors, known as the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i/>
          <w:iCs/>
          <w:sz w:val="24"/>
          <w:szCs w:val="24"/>
        </w:rPr>
        <w:t xml:space="preserve"> </w:t>
      </w:r>
      <w:r w:rsidRPr="00206AF4">
        <w:rPr>
          <w:rFonts w:ascii="Times New Roman" w:hAnsi="Times New Roman" w:cs="Times New Roman"/>
          <w:sz w:val="24"/>
          <w:szCs w:val="24"/>
        </w:rPr>
        <w:t xml:space="preserve">factors, to determine whether a trademark use gives rise to a likelihood of confusion”); </w:t>
      </w:r>
      <w:r w:rsidRPr="00206AF4">
        <w:rPr>
          <w:rFonts w:ascii="Times New Roman" w:hAnsi="Times New Roman" w:cs="Times New Roman"/>
          <w:i/>
          <w:iCs/>
          <w:sz w:val="24"/>
          <w:szCs w:val="24"/>
        </w:rPr>
        <w:t>Dr. Seuss Enters., L.P. v. Penguin Books</w:t>
      </w:r>
      <w:r w:rsidRPr="00206AF4">
        <w:rPr>
          <w:rFonts w:ascii="Times New Roman" w:hAnsi="Times New Roman" w:cs="Times New Roman"/>
          <w:sz w:val="24"/>
          <w:szCs w:val="24"/>
        </w:rPr>
        <w:t xml:space="preserve">, 109 F.3d 1394, 1404 n.13 (9th Cir. 1997) (noting that Ninth Circuit uses eight-factor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sz w:val="24"/>
          <w:szCs w:val="24"/>
        </w:rPr>
        <w:t xml:space="preserve"> test “simply to be over-inclusive”).</w:t>
      </w:r>
      <w:r>
        <w:rPr>
          <w:rFonts w:ascii="Times New Roman" w:hAnsi="Times New Roman" w:cs="Times New Roman"/>
          <w:sz w:val="24"/>
          <w:szCs w:val="24"/>
        </w:rPr>
        <w:t xml:space="preserve">  Before applying the </w:t>
      </w:r>
      <w:proofErr w:type="spellStart"/>
      <w:r>
        <w:rPr>
          <w:rFonts w:ascii="Times New Roman" w:hAnsi="Times New Roman" w:cs="Times New Roman"/>
          <w:i/>
          <w:iCs/>
          <w:sz w:val="24"/>
          <w:szCs w:val="24"/>
        </w:rPr>
        <w:t>Sleekcraft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factors, the court first should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the relevant consumer market.”  </w:t>
      </w:r>
      <w:proofErr w:type="spellStart"/>
      <w:r>
        <w:rPr>
          <w:rFonts w:ascii="Times New Roman" w:hAnsi="Times New Roman" w:cs="Times New Roman"/>
          <w:i/>
          <w:iCs/>
          <w:sz w:val="24"/>
          <w:szCs w:val="24"/>
        </w:rPr>
        <w:t>Ironhawk</w:t>
      </w:r>
      <w:proofErr w:type="spellEnd"/>
      <w:r>
        <w:rPr>
          <w:rFonts w:ascii="Times New Roman" w:hAnsi="Times New Roman" w:cs="Times New Roman"/>
          <w:i/>
          <w:iCs/>
          <w:sz w:val="24"/>
          <w:szCs w:val="24"/>
        </w:rPr>
        <w:t xml:space="preserve"> Techs., Inc. v. Dropbox, Inc.</w:t>
      </w:r>
      <w:r>
        <w:rPr>
          <w:rFonts w:ascii="Times New Roman" w:hAnsi="Times New Roman" w:cs="Times New Roman"/>
          <w:sz w:val="24"/>
          <w:szCs w:val="24"/>
        </w:rPr>
        <w:t>, 2 F.</w:t>
      </w:r>
      <w:r w:rsidRPr="00206AF4">
        <w:rPr>
          <w:rFonts w:ascii="Times New Roman" w:hAnsi="Times New Roman" w:cs="Times New Roman"/>
          <w:sz w:val="24"/>
          <w:szCs w:val="24"/>
        </w:rPr>
        <w:t xml:space="preserve">4th 1150, 1160 (9th </w:t>
      </w:r>
      <w:r>
        <w:rPr>
          <w:rFonts w:ascii="Times New Roman" w:hAnsi="Times New Roman" w:cs="Times New Roman"/>
          <w:sz w:val="24"/>
          <w:szCs w:val="24"/>
        </w:rPr>
        <w:t>Cir. 2021).</w:t>
      </w:r>
    </w:p>
    <w:p w14:paraId="3F9B4FEF"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44566010"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The Committee recommends that the judge instruct only on the factors that are relevant in the </w:t>
      </w:r>
      <w:proofErr w:type="gramStart"/>
      <w:r w:rsidRPr="00206AF4">
        <w:rPr>
          <w:rFonts w:ascii="Times New Roman" w:hAnsi="Times New Roman" w:cs="Times New Roman"/>
          <w:sz w:val="24"/>
          <w:szCs w:val="24"/>
        </w:rPr>
        <w:t>particular case</w:t>
      </w:r>
      <w:proofErr w:type="gramEnd"/>
      <w:r w:rsidRPr="00206AF4">
        <w:rPr>
          <w:rFonts w:ascii="Times New Roman" w:hAnsi="Times New Roman" w:cs="Times New Roman"/>
          <w:sz w:val="24"/>
          <w:szCs w:val="24"/>
        </w:rPr>
        <w:t xml:space="preserve"> presented to the jury.</w:t>
      </w:r>
      <w:r w:rsidRPr="00206AF4">
        <w:rPr>
          <w:rFonts w:ascii="Times New Roman" w:hAnsi="Times New Roman" w:cs="Times New Roman"/>
          <w:i/>
          <w:iCs/>
          <w:sz w:val="24"/>
          <w:szCs w:val="24"/>
        </w:rPr>
        <w:t xml:space="preserve">  See Brookfield Commc’ns. Inc. v. West Coast Entm’t Corp.</w:t>
      </w:r>
      <w:r w:rsidRPr="00206AF4">
        <w:rPr>
          <w:rFonts w:ascii="Times New Roman" w:hAnsi="Times New Roman" w:cs="Times New Roman"/>
          <w:sz w:val="24"/>
          <w:szCs w:val="24"/>
        </w:rPr>
        <w:t>, 174 F.3d 1036, 1054 (9th Cir. 1999) (“it is often possible to reach a conclusion with respect to likelihood of confusion after considering only a subset of the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sz w:val="24"/>
          <w:szCs w:val="24"/>
        </w:rPr>
        <w:t xml:space="preserve"> factors, which do] not purport to be exhaustive, and non-listed variations may often be quite important”);</w:t>
      </w:r>
      <w:r w:rsidRPr="00206AF4">
        <w:rPr>
          <w:rFonts w:ascii="Times New Roman" w:hAnsi="Times New Roman" w:cs="Times New Roman"/>
          <w:i/>
          <w:iCs/>
          <w:sz w:val="24"/>
          <w:szCs w:val="24"/>
        </w:rPr>
        <w:t xml:space="preserve"> Metro Pub., Ltd. v. San Jose Mercury News</w:t>
      </w:r>
      <w:r w:rsidRPr="00206AF4">
        <w:rPr>
          <w:rFonts w:ascii="Times New Roman" w:hAnsi="Times New Roman" w:cs="Times New Roman"/>
          <w:sz w:val="24"/>
          <w:szCs w:val="24"/>
        </w:rPr>
        <w:t xml:space="preserve">, 987 F.2d 637, 640 (9th Cir. 1993) (“Because each factor [of eight-factor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sz w:val="24"/>
          <w:szCs w:val="24"/>
        </w:rPr>
        <w:t xml:space="preserve"> test] is not necessarily relevant to every case, this list functions as a guide and is ‘neither exhaustive nor exclusive.’”) (</w:t>
      </w:r>
      <w:proofErr w:type="gramStart"/>
      <w:r w:rsidRPr="00206AF4">
        <w:rPr>
          <w:rFonts w:ascii="Times New Roman" w:hAnsi="Times New Roman" w:cs="Times New Roman"/>
          <w:sz w:val="24"/>
          <w:szCs w:val="24"/>
        </w:rPr>
        <w:t>citations</w:t>
      </w:r>
      <w:proofErr w:type="gramEnd"/>
      <w:r w:rsidRPr="00206AF4">
        <w:rPr>
          <w:rFonts w:ascii="Times New Roman" w:hAnsi="Times New Roman" w:cs="Times New Roman"/>
          <w:sz w:val="24"/>
          <w:szCs w:val="24"/>
        </w:rPr>
        <w:t xml:space="preserve"> omitted)</w:t>
      </w:r>
      <w:r w:rsidRPr="00206AF4">
        <w:rPr>
          <w:rFonts w:ascii="Times New Roman" w:hAnsi="Times New Roman" w:cs="Times New Roman"/>
          <w:i/>
          <w:iCs/>
          <w:sz w:val="24"/>
          <w:szCs w:val="24"/>
        </w:rPr>
        <w:t xml:space="preserve">. See generally Thane </w:t>
      </w:r>
      <w:r w:rsidRPr="00206AF4">
        <w:rPr>
          <w:rFonts w:ascii="Times New Roman" w:hAnsi="Times New Roman" w:cs="Times New Roman"/>
          <w:i/>
          <w:iCs/>
          <w:sz w:val="24"/>
          <w:szCs w:val="24"/>
        </w:rPr>
        <w:lastRenderedPageBreak/>
        <w:t>Intern., Inc. v. Trek Bicycle Corp.</w:t>
      </w:r>
      <w:r w:rsidRPr="00206AF4">
        <w:rPr>
          <w:rFonts w:ascii="Times New Roman" w:hAnsi="Times New Roman" w:cs="Times New Roman"/>
          <w:sz w:val="24"/>
          <w:szCs w:val="24"/>
        </w:rPr>
        <w:t xml:space="preserve">, 305 F.3d 894, 901 (9th Cir. 2002) (“Unless properly used, this long list of [likelihood of confusion] factors </w:t>
      </w:r>
      <w:proofErr w:type="gramStart"/>
      <w:r w:rsidRPr="00206AF4">
        <w:rPr>
          <w:rFonts w:ascii="Times New Roman" w:hAnsi="Times New Roman" w:cs="Times New Roman"/>
          <w:sz w:val="24"/>
          <w:szCs w:val="24"/>
        </w:rPr>
        <w:t>has</w:t>
      </w:r>
      <w:proofErr w:type="gramEnd"/>
      <w:r w:rsidRPr="00206AF4">
        <w:rPr>
          <w:rFonts w:ascii="Times New Roman" w:hAnsi="Times New Roman" w:cs="Times New Roman"/>
          <w:sz w:val="24"/>
          <w:szCs w:val="24"/>
        </w:rPr>
        <w:t xml:space="preserve"> the potential to befuddle the inquiry. The list of factors is not a score-card–whether a party ‘wins’ </w:t>
      </w:r>
      <w:proofErr w:type="gramStart"/>
      <w:r w:rsidRPr="00206AF4">
        <w:rPr>
          <w:rFonts w:ascii="Times New Roman" w:hAnsi="Times New Roman" w:cs="Times New Roman"/>
          <w:sz w:val="24"/>
          <w:szCs w:val="24"/>
        </w:rPr>
        <w:t>a majority of</w:t>
      </w:r>
      <w:proofErr w:type="gramEnd"/>
      <w:r w:rsidRPr="00206AF4">
        <w:rPr>
          <w:rFonts w:ascii="Times New Roman" w:hAnsi="Times New Roman" w:cs="Times New Roman"/>
          <w:sz w:val="24"/>
          <w:szCs w:val="24"/>
        </w:rPr>
        <w:t xml:space="preserve"> the factors is not the point.  Nor should ‘[t]he factors ... be rigidly weighed; we do not count beans.’ </w:t>
      </w:r>
      <w:proofErr w:type="spellStart"/>
      <w:r w:rsidRPr="00206AF4">
        <w:rPr>
          <w:rFonts w:ascii="Times New Roman" w:hAnsi="Times New Roman" w:cs="Times New Roman"/>
          <w:i/>
          <w:iCs/>
          <w:sz w:val="24"/>
          <w:szCs w:val="24"/>
        </w:rPr>
        <w:t>Dreamwerks</w:t>
      </w:r>
      <w:proofErr w:type="spellEnd"/>
      <w:r w:rsidRPr="00206AF4">
        <w:rPr>
          <w:rFonts w:ascii="Times New Roman" w:hAnsi="Times New Roman" w:cs="Times New Roman"/>
          <w:i/>
          <w:iCs/>
          <w:sz w:val="24"/>
          <w:szCs w:val="24"/>
        </w:rPr>
        <w:t xml:space="preserve"> Prod. Group v. SKG Studio</w:t>
      </w:r>
      <w:r w:rsidRPr="00206AF4">
        <w:rPr>
          <w:rFonts w:ascii="Times New Roman" w:hAnsi="Times New Roman" w:cs="Times New Roman"/>
          <w:sz w:val="24"/>
          <w:szCs w:val="24"/>
        </w:rPr>
        <w:t xml:space="preserve">, 142 F.3d 1127, 1129 (9th Cir. 1998).  ‘Some factors are much more helpful than others, and the relative importance of each individual factor will be case specific.... [I]t is often possible to reach a conclusion with respect to likelihood of confusion after considering only a subset of the factors.’ </w:t>
      </w:r>
      <w:r w:rsidRPr="00206AF4">
        <w:rPr>
          <w:rFonts w:ascii="Times New Roman" w:hAnsi="Times New Roman" w:cs="Times New Roman"/>
          <w:i/>
          <w:iCs/>
          <w:sz w:val="24"/>
          <w:szCs w:val="24"/>
        </w:rPr>
        <w:t>Brookfield Communications [v. West Coast Entertainment</w:t>
      </w:r>
      <w:r w:rsidRPr="00206AF4">
        <w:rPr>
          <w:rFonts w:ascii="Times New Roman" w:hAnsi="Times New Roman" w:cs="Times New Roman"/>
          <w:sz w:val="24"/>
          <w:szCs w:val="24"/>
        </w:rPr>
        <w:t>], 174 F.3d [1036] at 1054 [(9th Cir. 1999)].”).</w:t>
      </w:r>
    </w:p>
    <w:p w14:paraId="40B0104B"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3D6DD5DA" w14:textId="77777777" w:rsidR="00206AF4" w:rsidRPr="00206AF4" w:rsidRDefault="00206AF4" w:rsidP="00206AF4">
      <w:pPr>
        <w:autoSpaceDE w:val="0"/>
        <w:autoSpaceDN w:val="0"/>
        <w:adjustRightInd w:val="0"/>
        <w:spacing w:after="0" w:line="240" w:lineRule="auto"/>
        <w:rPr>
          <w:rFonts w:ascii="VEYYM C+ Times New Roman," w:hAnsi="VEYYM C+ Times New Roman," w:cs="VEYYM C+ Times New Roman,"/>
          <w:sz w:val="24"/>
          <w:szCs w:val="24"/>
        </w:rPr>
      </w:pPr>
      <w:r w:rsidRPr="00206AF4">
        <w:rPr>
          <w:rFonts w:ascii="Times New Roman" w:hAnsi="Times New Roman" w:cs="Times New Roman"/>
          <w:sz w:val="24"/>
          <w:szCs w:val="24"/>
        </w:rPr>
        <w:tab/>
        <w:t xml:space="preserve">A jury should be warned not to focus on any one factor and to consider all relevant evidence in assessing likelihood of confusion, by use of the second paragraph in this instruction. </w:t>
      </w:r>
      <w:r w:rsidRPr="00206AF4">
        <w:rPr>
          <w:rFonts w:ascii="Times New Roman" w:hAnsi="Times New Roman" w:cs="Times New Roman"/>
          <w:i/>
          <w:iCs/>
          <w:sz w:val="24"/>
          <w:szCs w:val="24"/>
        </w:rPr>
        <w:t>See Kendall-Jackson Winery Ltd. v. E.&amp; J. Gallo Winery</w:t>
      </w:r>
      <w:r w:rsidRPr="00206AF4">
        <w:rPr>
          <w:rFonts w:ascii="Times New Roman" w:hAnsi="Times New Roman" w:cs="Times New Roman"/>
          <w:sz w:val="24"/>
          <w:szCs w:val="24"/>
        </w:rPr>
        <w:t xml:space="preserve">, 150 F.3d 1042, 1052, n.13 (9th Cir. 1998) (elaborating further on instructions on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sz w:val="24"/>
          <w:szCs w:val="24"/>
        </w:rPr>
        <w:t xml:space="preserve"> factors dealing with defendant’s intent to cause confusion and causing actual confusion). </w:t>
      </w:r>
    </w:p>
    <w:p w14:paraId="39B1E669" w14:textId="77777777" w:rsidR="00206AF4" w:rsidRPr="00206AF4" w:rsidRDefault="00206AF4" w:rsidP="00206AF4">
      <w:pPr>
        <w:autoSpaceDE w:val="0"/>
        <w:autoSpaceDN w:val="0"/>
        <w:adjustRightInd w:val="0"/>
        <w:spacing w:after="0" w:line="240" w:lineRule="auto"/>
        <w:rPr>
          <w:rFonts w:ascii="VEYYM C+ Times New Roman," w:hAnsi="VEYYM C+ Times New Roman," w:cs="VEYYM C+ Times New Roman,"/>
          <w:sz w:val="24"/>
          <w:szCs w:val="24"/>
        </w:rPr>
      </w:pPr>
    </w:p>
    <w:p w14:paraId="78E1184B"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In cases involving claims of trademark infringement on the Internet, the Ninth Circuit has affirmed the use of an additional instruction indicating that three of the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i/>
          <w:iCs/>
          <w:sz w:val="24"/>
          <w:szCs w:val="24"/>
        </w:rPr>
        <w:t xml:space="preserve"> </w:t>
      </w:r>
      <w:r w:rsidRPr="00206AF4">
        <w:rPr>
          <w:rFonts w:ascii="Times New Roman" w:hAnsi="Times New Roman" w:cs="Times New Roman"/>
          <w:sz w:val="24"/>
          <w:szCs w:val="24"/>
        </w:rPr>
        <w:t>factors: (</w:t>
      </w:r>
      <w:proofErr w:type="spellStart"/>
      <w:r w:rsidRPr="00206AF4">
        <w:rPr>
          <w:rFonts w:ascii="Times New Roman" w:hAnsi="Times New Roman" w:cs="Times New Roman"/>
          <w:sz w:val="24"/>
          <w:szCs w:val="24"/>
        </w:rPr>
        <w:t>i</w:t>
      </w:r>
      <w:proofErr w:type="spellEnd"/>
      <w:r w:rsidRPr="00206AF4">
        <w:rPr>
          <w:rFonts w:ascii="Times New Roman" w:hAnsi="Times New Roman" w:cs="Times New Roman"/>
          <w:sz w:val="24"/>
          <w:szCs w:val="24"/>
        </w:rPr>
        <w:t xml:space="preserve">) similarity of plaintiff’s and defendant’s mark; (ii) relatedness of services; and (iii) simultaneous use of the Internet as a marketing channel, otherwise known as the “Internet Troika,” are of greater importance.  </w:t>
      </w:r>
      <w:r w:rsidRPr="00206AF4">
        <w:rPr>
          <w:rFonts w:ascii="Times New Roman" w:hAnsi="Times New Roman" w:cs="Times New Roman"/>
          <w:i/>
          <w:iCs/>
          <w:sz w:val="24"/>
          <w:szCs w:val="24"/>
        </w:rPr>
        <w:t xml:space="preserve">Internet Specialties West, Inc. v. </w:t>
      </w:r>
      <w:proofErr w:type="spellStart"/>
      <w:r w:rsidRPr="00206AF4">
        <w:rPr>
          <w:rFonts w:ascii="Times New Roman" w:hAnsi="Times New Roman" w:cs="Times New Roman"/>
          <w:i/>
          <w:iCs/>
          <w:sz w:val="24"/>
          <w:szCs w:val="24"/>
        </w:rPr>
        <w:t>Milon-Digiorgio</w:t>
      </w:r>
      <w:proofErr w:type="spellEnd"/>
      <w:r w:rsidRPr="00206AF4">
        <w:rPr>
          <w:rFonts w:ascii="Times New Roman" w:hAnsi="Times New Roman" w:cs="Times New Roman"/>
          <w:i/>
          <w:iCs/>
          <w:sz w:val="24"/>
          <w:szCs w:val="24"/>
        </w:rPr>
        <w:t xml:space="preserve"> Enters., Inc.</w:t>
      </w:r>
      <w:r w:rsidRPr="00206AF4">
        <w:rPr>
          <w:rFonts w:ascii="Times New Roman" w:hAnsi="Times New Roman" w:cs="Times New Roman"/>
          <w:sz w:val="24"/>
          <w:szCs w:val="24"/>
        </w:rPr>
        <w:t>, 559 F.3d 985, 989 (9th Cir. 2009) (holding that law of Ninth Circuit “places greater import on the ‘Internet Troika’ in Internet cases”).</w:t>
      </w:r>
    </w:p>
    <w:p w14:paraId="6E6DE064" w14:textId="77777777" w:rsidR="00206AF4" w:rsidRPr="00206AF4" w:rsidRDefault="00206AF4" w:rsidP="00206AF4">
      <w:pPr>
        <w:autoSpaceDE w:val="0"/>
        <w:autoSpaceDN w:val="0"/>
        <w:adjustRightInd w:val="0"/>
        <w:spacing w:after="0" w:line="240" w:lineRule="auto"/>
        <w:rPr>
          <w:rFonts w:ascii="VEYYM C+ Times New Roman," w:hAnsi="VEYYM C+ Times New Roman," w:cs="VEYYM C+ Times New Roman,"/>
          <w:sz w:val="24"/>
          <w:szCs w:val="24"/>
        </w:rPr>
      </w:pPr>
    </w:p>
    <w:p w14:paraId="084652F1"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“The Ninth Circuit enumerated likelihood of confusion tests as helpful guidelines to the district courts.  These tests were not meant to be requirements or hoops that a district court need jump through to make the determination </w:t>
      </w:r>
      <w:proofErr w:type="gramStart"/>
      <w:r w:rsidRPr="00206AF4">
        <w:rPr>
          <w:rFonts w:ascii="Times New Roman" w:hAnsi="Times New Roman" w:cs="Times New Roman"/>
          <w:sz w:val="24"/>
          <w:szCs w:val="24"/>
        </w:rPr>
        <w:t>. . . .</w:t>
      </w:r>
      <w:proofErr w:type="gramEnd"/>
      <w:r w:rsidRPr="00206AF4">
        <w:rPr>
          <w:rFonts w:ascii="Times New Roman" w:hAnsi="Times New Roman" w:cs="Times New Roman"/>
          <w:sz w:val="24"/>
          <w:szCs w:val="24"/>
        </w:rPr>
        <w:t xml:space="preserve"> [W]e </w:t>
      </w:r>
      <w:proofErr w:type="gramStart"/>
      <w:r w:rsidRPr="00206AF4">
        <w:rPr>
          <w:rFonts w:ascii="Times New Roman" w:hAnsi="Times New Roman" w:cs="Times New Roman"/>
          <w:sz w:val="24"/>
          <w:szCs w:val="24"/>
        </w:rPr>
        <w:t>have</w:t>
      </w:r>
      <w:proofErr w:type="gramEnd"/>
      <w:r w:rsidRPr="00206AF4">
        <w:rPr>
          <w:rFonts w:ascii="Times New Roman" w:hAnsi="Times New Roman" w:cs="Times New Roman"/>
          <w:sz w:val="24"/>
          <w:szCs w:val="24"/>
        </w:rPr>
        <w:t xml:space="preserve"> identified a non-exclusive series of factors that are helpful in making the ultimate factual determination of likelihood of confusion.”  </w:t>
      </w:r>
      <w:r w:rsidRPr="00206AF4">
        <w:rPr>
          <w:rFonts w:ascii="Times New Roman" w:hAnsi="Times New Roman" w:cs="Times New Roman"/>
          <w:i/>
          <w:iCs/>
          <w:sz w:val="24"/>
          <w:szCs w:val="24"/>
        </w:rPr>
        <w:t>Eclipse Associates Ltd. v. Data General Corp.</w:t>
      </w:r>
      <w:r w:rsidRPr="00206AF4">
        <w:rPr>
          <w:rFonts w:ascii="Times New Roman" w:hAnsi="Times New Roman" w:cs="Times New Roman"/>
          <w:sz w:val="24"/>
          <w:szCs w:val="24"/>
        </w:rPr>
        <w:t xml:space="preserve">, 894 F.2d 1114, 1117-18 (9th Cir. 1990).  </w:t>
      </w:r>
      <w:r w:rsidRPr="00206AF4">
        <w:rPr>
          <w:rFonts w:ascii="Times New Roman" w:hAnsi="Times New Roman" w:cs="Times New Roman"/>
          <w:i/>
          <w:iCs/>
          <w:sz w:val="24"/>
          <w:szCs w:val="24"/>
        </w:rPr>
        <w:t>See Brookfield Communications Inc. v. West Coast Entertainment Corp.</w:t>
      </w:r>
      <w:r w:rsidRPr="00206AF4">
        <w:rPr>
          <w:rFonts w:ascii="Times New Roman" w:hAnsi="Times New Roman" w:cs="Times New Roman"/>
          <w:sz w:val="24"/>
          <w:szCs w:val="24"/>
        </w:rPr>
        <w:t>, 174 F.3d 1036, 1054 (9th Cir. 1999) (“A word of caution: This eight-factor [</w:t>
      </w:r>
      <w:proofErr w:type="spellStart"/>
      <w:r w:rsidRPr="00206AF4">
        <w:rPr>
          <w:rFonts w:ascii="Times New Roman" w:hAnsi="Times New Roman" w:cs="Times New Roman"/>
          <w:i/>
          <w:iCs/>
          <w:sz w:val="24"/>
          <w:szCs w:val="24"/>
        </w:rPr>
        <w:t>Sleekcraft</w:t>
      </w:r>
      <w:proofErr w:type="spellEnd"/>
      <w:r w:rsidRPr="00206AF4">
        <w:rPr>
          <w:rFonts w:ascii="Times New Roman" w:hAnsi="Times New Roman" w:cs="Times New Roman"/>
          <w:sz w:val="24"/>
          <w:szCs w:val="24"/>
        </w:rPr>
        <w:t xml:space="preserve">] test for likelihood of confusion is pliant.  Some factors are much more important than others, and the relative importance of each individual factor will be case-specific.”).  Because these lists are “neither exhaustive nor exclusive,” </w:t>
      </w:r>
      <w:r w:rsidRPr="00206AF4">
        <w:rPr>
          <w:rFonts w:ascii="Times New Roman" w:hAnsi="Times New Roman" w:cs="Times New Roman"/>
          <w:i/>
          <w:iCs/>
          <w:sz w:val="24"/>
          <w:szCs w:val="24"/>
        </w:rPr>
        <w:t>E. &amp; J. Gallo Winery v. Gallo Cattle Co.</w:t>
      </w:r>
      <w:r w:rsidRPr="00206AF4">
        <w:rPr>
          <w:rFonts w:ascii="Times New Roman" w:hAnsi="Times New Roman" w:cs="Times New Roman"/>
          <w:sz w:val="24"/>
          <w:szCs w:val="24"/>
        </w:rPr>
        <w:t>, 967 F.2d 1280, 1290 (1992), a ninth factor has been included.</w:t>
      </w:r>
    </w:p>
    <w:p w14:paraId="0CE8AFB6"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55A98985"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There is a presumption of a likelihood of confusion “when the offending mark is a counterfeit mark, or a mark virtually identical to a previously registered mark coupled with the intent to pass off or borrow from established good will.”  </w:t>
      </w:r>
      <w:r w:rsidRPr="00206AF4">
        <w:rPr>
          <w:rFonts w:ascii="Times New Roman" w:hAnsi="Times New Roman" w:cs="Times New Roman"/>
          <w:i/>
          <w:iCs/>
          <w:sz w:val="24"/>
          <w:szCs w:val="24"/>
        </w:rPr>
        <w:t xml:space="preserve">Louis Vuitton Malletier, S.A. v. </w:t>
      </w:r>
      <w:proofErr w:type="spellStart"/>
      <w:r w:rsidRPr="00206AF4">
        <w:rPr>
          <w:rFonts w:ascii="Times New Roman" w:hAnsi="Times New Roman" w:cs="Times New Roman"/>
          <w:i/>
          <w:iCs/>
          <w:sz w:val="24"/>
          <w:szCs w:val="24"/>
        </w:rPr>
        <w:t>Akanoc</w:t>
      </w:r>
      <w:proofErr w:type="spellEnd"/>
      <w:r w:rsidRPr="00206AF4">
        <w:rPr>
          <w:rFonts w:ascii="Times New Roman" w:hAnsi="Times New Roman" w:cs="Times New Roman"/>
          <w:i/>
          <w:iCs/>
          <w:sz w:val="24"/>
          <w:szCs w:val="24"/>
        </w:rPr>
        <w:t xml:space="preserve"> Solutions, Inc.</w:t>
      </w:r>
      <w:r w:rsidRPr="00206AF4">
        <w:rPr>
          <w:rFonts w:ascii="Times New Roman" w:hAnsi="Times New Roman" w:cs="Times New Roman"/>
          <w:sz w:val="24"/>
          <w:szCs w:val="24"/>
        </w:rPr>
        <w:t xml:space="preserve">, 658 F.3d 936, 945 (9th Cir. 2011) (approving instruction).  A counterfeit mark is “a counterfeit of a mark that is registered </w:t>
      </w:r>
      <w:proofErr w:type="gramStart"/>
      <w:r w:rsidRPr="00206AF4">
        <w:rPr>
          <w:rFonts w:ascii="Times New Roman" w:hAnsi="Times New Roman" w:cs="Times New Roman"/>
          <w:sz w:val="24"/>
          <w:szCs w:val="24"/>
        </w:rPr>
        <w:t>. . . ,</w:t>
      </w:r>
      <w:proofErr w:type="gramEnd"/>
      <w:r w:rsidRPr="00206AF4">
        <w:rPr>
          <w:rFonts w:ascii="Times New Roman" w:hAnsi="Times New Roman" w:cs="Times New Roman"/>
          <w:sz w:val="24"/>
          <w:szCs w:val="24"/>
        </w:rPr>
        <w:t xml:space="preserve"> whether or not the person against whom relief is sought knew such mark was so registered.”  </w:t>
      </w:r>
      <w:r w:rsidRPr="00206AF4">
        <w:rPr>
          <w:rFonts w:ascii="Times New Roman" w:hAnsi="Times New Roman" w:cs="Times New Roman"/>
          <w:i/>
          <w:iCs/>
          <w:sz w:val="24"/>
          <w:szCs w:val="24"/>
        </w:rPr>
        <w:t xml:space="preserve">Id.  </w:t>
      </w:r>
      <w:r w:rsidRPr="00206AF4">
        <w:rPr>
          <w:rFonts w:ascii="Times New Roman" w:hAnsi="Times New Roman" w:cs="Times New Roman"/>
          <w:sz w:val="24"/>
          <w:szCs w:val="24"/>
        </w:rPr>
        <w:t>(</w:t>
      </w:r>
      <w:proofErr w:type="gramStart"/>
      <w:r w:rsidRPr="00206AF4">
        <w:rPr>
          <w:rFonts w:ascii="Times New Roman" w:hAnsi="Times New Roman" w:cs="Times New Roman"/>
          <w:sz w:val="24"/>
          <w:szCs w:val="24"/>
        </w:rPr>
        <w:t>citing</w:t>
      </w:r>
      <w:proofErr w:type="gramEnd"/>
      <w:r w:rsidRPr="00206AF4">
        <w:rPr>
          <w:rFonts w:ascii="Times New Roman" w:hAnsi="Times New Roman" w:cs="Times New Roman"/>
          <w:sz w:val="24"/>
          <w:szCs w:val="24"/>
        </w:rPr>
        <w:t xml:space="preserve"> 15 U.S.C. § 1116(d)(1)(B)(I)).</w:t>
      </w:r>
    </w:p>
    <w:p w14:paraId="640D9A31"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78E132B2" w14:textId="5FFA45DC"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r w:rsidRPr="00206AF4">
        <w:rPr>
          <w:rFonts w:ascii="Times New Roman" w:hAnsi="Times New Roman" w:cs="Times New Roman"/>
          <w:sz w:val="24"/>
          <w:szCs w:val="24"/>
        </w:rPr>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w:t>
      </w:r>
      <w:r w:rsidRPr="00206AF4">
        <w:rPr>
          <w:rFonts w:ascii="Times New Roman" w:hAnsi="Times New Roman" w:cs="Times New Roman"/>
          <w:sz w:val="24"/>
          <w:szCs w:val="24"/>
        </w:rPr>
        <w:lastRenderedPageBreak/>
        <w:t xml:space="preserve">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proofErr w:type="spellStart"/>
      <w:r w:rsidRPr="00206AF4">
        <w:rPr>
          <w:rFonts w:ascii="Times New Roman" w:hAnsi="Times New Roman" w:cs="Times New Roman"/>
          <w:i/>
          <w:iCs/>
          <w:sz w:val="24"/>
          <w:szCs w:val="24"/>
        </w:rPr>
        <w:t>Marketquest</w:t>
      </w:r>
      <w:proofErr w:type="spellEnd"/>
      <w:r w:rsidRPr="00206AF4">
        <w:rPr>
          <w:rFonts w:ascii="Times New Roman" w:hAnsi="Times New Roman" w:cs="Times New Roman"/>
          <w:i/>
          <w:iCs/>
          <w:sz w:val="24"/>
          <w:szCs w:val="24"/>
        </w:rPr>
        <w:t xml:space="preserve"> Group, Inc. v. BIC Corp</w:t>
      </w:r>
      <w:r w:rsidRPr="00206AF4">
        <w:rPr>
          <w:rFonts w:ascii="Times New Roman" w:hAnsi="Times New Roman" w:cs="Times New Roman"/>
          <w:sz w:val="24"/>
          <w:szCs w:val="24"/>
        </w:rPr>
        <w:t>., 862 F.3d 927, 932, 937 (9th Cir. 2017);</w:t>
      </w:r>
      <w:r w:rsidRPr="00206AF4">
        <w:rPr>
          <w:rFonts w:ascii="Times New Roman" w:hAnsi="Times New Roman" w:cs="Times New Roman"/>
          <w:i/>
          <w:iCs/>
          <w:sz w:val="24"/>
          <w:szCs w:val="24"/>
        </w:rPr>
        <w:t xml:space="preserve"> see also </w:t>
      </w:r>
      <w:proofErr w:type="spellStart"/>
      <w:r w:rsidRPr="00206AF4">
        <w:rPr>
          <w:rFonts w:ascii="Times New Roman" w:hAnsi="Times New Roman" w:cs="Times New Roman"/>
          <w:i/>
          <w:iCs/>
          <w:sz w:val="24"/>
          <w:szCs w:val="24"/>
        </w:rPr>
        <w:t>Ironhawk</w:t>
      </w:r>
      <w:proofErr w:type="spellEnd"/>
      <w:r w:rsidRPr="00206AF4">
        <w:rPr>
          <w:rFonts w:ascii="Times New Roman" w:hAnsi="Times New Roman" w:cs="Times New Roman"/>
          <w:i/>
          <w:iCs/>
          <w:sz w:val="24"/>
          <w:szCs w:val="24"/>
        </w:rPr>
        <w:t xml:space="preserve"> Techs., </w:t>
      </w:r>
      <w:r>
        <w:rPr>
          <w:rFonts w:ascii="Times New Roman" w:hAnsi="Times New Roman" w:cs="Times New Roman"/>
          <w:sz w:val="24"/>
          <w:szCs w:val="24"/>
        </w:rPr>
        <w:t>2 F.</w:t>
      </w:r>
      <w:r w:rsidRPr="00206AF4">
        <w:rPr>
          <w:rFonts w:ascii="Times New Roman" w:hAnsi="Times New Roman" w:cs="Times New Roman"/>
          <w:sz w:val="24"/>
          <w:szCs w:val="24"/>
        </w:rPr>
        <w:t>4th at</w:t>
      </w:r>
      <w:r>
        <w:rPr>
          <w:rFonts w:ascii="Times New Roman" w:hAnsi="Times New Roman" w:cs="Times New Roman"/>
          <w:sz w:val="24"/>
          <w:szCs w:val="24"/>
        </w:rPr>
        <w:t xml:space="preserve"> 1165 (“Evidence of actual confusion by consumers is strong evidence of likelihood of confusion.”  Nevertheless, “failure to prove instances of actual confusion is not dispositive.”)</w:t>
      </w:r>
    </w:p>
    <w:p w14:paraId="7262E241"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568EC0BD" w14:textId="77777777" w:rsidR="00206AF4" w:rsidRPr="00206AF4" w:rsidRDefault="00206AF4" w:rsidP="00206AF4">
      <w:pPr>
        <w:autoSpaceDE w:val="0"/>
        <w:autoSpaceDN w:val="0"/>
        <w:adjustRightInd w:val="0"/>
        <w:spacing w:after="0" w:line="240" w:lineRule="auto"/>
        <w:rPr>
          <w:rFonts w:ascii="Times New Roman" w:hAnsi="Times New Roman" w:cs="Times New Roman"/>
          <w:sz w:val="24"/>
          <w:szCs w:val="24"/>
        </w:rPr>
      </w:pPr>
    </w:p>
    <w:p w14:paraId="3D84E681" w14:textId="1F57024F" w:rsidR="00206AF4" w:rsidRPr="00206AF4" w:rsidRDefault="00206AF4" w:rsidP="00206AF4">
      <w:pPr>
        <w:autoSpaceDE w:val="0"/>
        <w:autoSpaceDN w:val="0"/>
        <w:adjustRightInd w:val="0"/>
        <w:spacing w:after="0" w:line="240" w:lineRule="auto"/>
        <w:jc w:val="right"/>
        <w:rPr>
          <w:rFonts w:ascii="Times New Roman" w:hAnsi="Times New Roman" w:cs="Times New Roman"/>
          <w:i/>
          <w:iCs/>
          <w:sz w:val="24"/>
          <w:szCs w:val="24"/>
        </w:rPr>
      </w:pPr>
      <w:r w:rsidRPr="00206AF4">
        <w:rPr>
          <w:rFonts w:ascii="Times New Roman" w:hAnsi="Times New Roman" w:cs="Times New Roman"/>
          <w:i/>
          <w:iCs/>
          <w:sz w:val="24"/>
          <w:szCs w:val="24"/>
        </w:rPr>
        <w:t xml:space="preserve">Revised </w:t>
      </w:r>
      <w:r>
        <w:rPr>
          <w:rFonts w:ascii="Times New Roman" w:hAnsi="Times New Roman" w:cs="Times New Roman"/>
          <w:i/>
          <w:iCs/>
          <w:sz w:val="24"/>
          <w:szCs w:val="24"/>
        </w:rPr>
        <w:t>Sept.</w:t>
      </w:r>
      <w:r w:rsidRPr="00206AF4">
        <w:rPr>
          <w:rFonts w:ascii="Times New Roman" w:hAnsi="Times New Roman" w:cs="Times New Roman"/>
          <w:i/>
          <w:iCs/>
          <w:sz w:val="24"/>
          <w:szCs w:val="24"/>
        </w:rPr>
        <w:t>2021</w:t>
      </w:r>
    </w:p>
    <w:bookmarkEnd w:id="0"/>
    <w:p w14:paraId="505D7497" w14:textId="77777777" w:rsidR="00FE7F82" w:rsidRDefault="00FE7F82"/>
    <w:sectPr w:rsidR="00FE7F82" w:rsidSect="00206AF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F4"/>
    <w:rsid w:val="00206AF4"/>
    <w:rsid w:val="003D1F0A"/>
    <w:rsid w:val="006E1EDA"/>
    <w:rsid w:val="0088725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1A3F"/>
  <w15:chartTrackingRefBased/>
  <w15:docId w15:val="{AE833BAB-B3BE-4AFB-A311-5991B477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1584</Words>
  <Characters>8427</Characters>
  <Application>Microsoft Office Word</Application>
  <DocSecurity>0</DocSecurity>
  <Lines>171</Lines>
  <Paragraphs>48</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2021-10-18T22:37:00Z</dcterms:created>
  <dcterms:modified xsi:type="dcterms:W3CDTF">2021-11-01T16:19:00Z</dcterms:modified>
</cp:coreProperties>
</file>