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573D" w14:textId="77777777" w:rsidR="0023283A" w:rsidRPr="0009095F" w:rsidRDefault="0023283A" w:rsidP="0023283A">
      <w:pPr>
        <w:jc w:val="center"/>
        <w:outlineLvl w:val="1"/>
        <w:rPr>
          <w:b/>
        </w:rPr>
      </w:pPr>
      <w:bookmarkStart w:id="0" w:name="_Hlk159753421"/>
      <w:bookmarkStart w:id="1" w:name="_Hlk159752525"/>
      <w:r w:rsidRPr="0009095F">
        <w:rPr>
          <w:b/>
        </w:rPr>
        <w:t>15.20 Derivative Liability—Inducing Infringement</w:t>
      </w:r>
    </w:p>
    <w:p w14:paraId="721F9B3F" w14:textId="77777777" w:rsidR="0023283A" w:rsidRPr="00BF7BE4" w:rsidRDefault="0023283A" w:rsidP="0023283A"/>
    <w:p w14:paraId="4193A2CB" w14:textId="77777777" w:rsidR="0023283A" w:rsidRPr="00BF7BE4" w:rsidRDefault="0023283A" w:rsidP="0023283A">
      <w:pPr>
        <w:jc w:val="both"/>
      </w:pPr>
      <w:r w:rsidRPr="00BF7BE4">
        <w:tab/>
        <w:t xml:space="preserve">A person is liable for trademark infringement by another if the person intentionally induced another to infringe the trademark. </w:t>
      </w:r>
    </w:p>
    <w:p w14:paraId="57D91698" w14:textId="77777777" w:rsidR="0023283A" w:rsidRPr="00BF7BE4" w:rsidRDefault="0023283A" w:rsidP="0023283A"/>
    <w:p w14:paraId="3E449EAF" w14:textId="77777777" w:rsidR="0023283A" w:rsidRPr="00BF7BE4" w:rsidRDefault="0023283A" w:rsidP="0023283A">
      <w:r w:rsidRPr="00BF7BE4">
        <w:tab/>
        <w:t>The plaintiff has the burden of proving each of the following by a preponderance of the evidence:</w:t>
      </w:r>
    </w:p>
    <w:p w14:paraId="698874C4" w14:textId="77777777" w:rsidR="0023283A" w:rsidRPr="00BF7BE4" w:rsidRDefault="0023283A" w:rsidP="0023283A"/>
    <w:p w14:paraId="32F47133" w14:textId="1E80EBBF" w:rsidR="0023283A" w:rsidRPr="00BF7BE4" w:rsidRDefault="0023283A" w:rsidP="0023283A">
      <w:pPr>
        <w:ind w:left="1440" w:hanging="720"/>
      </w:pPr>
      <w:r>
        <w:rPr>
          <w:szCs w:val="24"/>
        </w:rPr>
        <w:t xml:space="preserve">First, </w:t>
      </w:r>
      <w:r w:rsidRPr="00BF7BE4">
        <w:rPr>
          <w:szCs w:val="24"/>
        </w:rPr>
        <w:t>[</w:t>
      </w:r>
      <w:r>
        <w:rPr>
          <w:i/>
          <w:iCs/>
          <w:szCs w:val="24"/>
          <w:u w:val="single"/>
        </w:rPr>
        <w:t>n</w:t>
      </w:r>
      <w:r w:rsidRPr="00BF7BE4">
        <w:rPr>
          <w:i/>
          <w:iCs/>
          <w:szCs w:val="24"/>
          <w:u w:val="single"/>
        </w:rPr>
        <w:t>ame</w:t>
      </w:r>
      <w:r w:rsidRPr="00BF7BE4">
        <w:rPr>
          <w:i/>
          <w:u w:val="single"/>
        </w:rPr>
        <w:t xml:space="preserve"> of direct infringer</w:t>
      </w:r>
      <w:r w:rsidRPr="00BF7BE4">
        <w:t xml:space="preserve">] infringed the plaintiff’s </w:t>
      </w:r>
      <w:proofErr w:type="gramStart"/>
      <w:r w:rsidRPr="00BF7BE4">
        <w:t>trademark;</w:t>
      </w:r>
      <w:proofErr w:type="gramEnd"/>
    </w:p>
    <w:p w14:paraId="66A77DE1" w14:textId="77777777" w:rsidR="0023283A" w:rsidRPr="00BF7BE4" w:rsidRDefault="0023283A" w:rsidP="0023283A">
      <w:pPr>
        <w:ind w:left="1440" w:hanging="720"/>
      </w:pPr>
    </w:p>
    <w:p w14:paraId="4294FE19" w14:textId="52E0CE8F" w:rsidR="0023283A" w:rsidRPr="00BF7BE4" w:rsidRDefault="0023283A" w:rsidP="0023283A">
      <w:pPr>
        <w:ind w:left="1440" w:hanging="720"/>
      </w:pPr>
      <w:r>
        <w:rPr>
          <w:szCs w:val="24"/>
        </w:rPr>
        <w:t xml:space="preserve">Second, </w:t>
      </w:r>
      <w:r w:rsidRPr="00BF7BE4">
        <w:t>the defendant intentionally induced [</w:t>
      </w:r>
      <w:r w:rsidRPr="00BF7BE4">
        <w:rPr>
          <w:i/>
          <w:u w:val="single"/>
        </w:rPr>
        <w:t>name of direct infringer</w:t>
      </w:r>
      <w:r w:rsidRPr="00BF7BE4">
        <w:t>] to infringe plaintiff’s trademark; and</w:t>
      </w:r>
    </w:p>
    <w:p w14:paraId="68E4EB5B" w14:textId="77777777" w:rsidR="0023283A" w:rsidRPr="00BF7BE4" w:rsidRDefault="0023283A" w:rsidP="0023283A">
      <w:pPr>
        <w:ind w:left="1440" w:hanging="720"/>
      </w:pPr>
    </w:p>
    <w:p w14:paraId="3125FFF0" w14:textId="15612B6E" w:rsidR="0023283A" w:rsidRPr="00BF7BE4" w:rsidRDefault="0023283A" w:rsidP="0023283A">
      <w:pPr>
        <w:ind w:left="1440" w:hanging="720"/>
      </w:pPr>
      <w:r>
        <w:rPr>
          <w:szCs w:val="24"/>
        </w:rPr>
        <w:t xml:space="preserve">Third, </w:t>
      </w:r>
      <w:r w:rsidRPr="00BF7BE4">
        <w:t>the plaintiff was damaged by the infringement.</w:t>
      </w:r>
    </w:p>
    <w:p w14:paraId="19D87A06" w14:textId="77777777" w:rsidR="0023283A" w:rsidRPr="00BF7BE4" w:rsidRDefault="0023283A" w:rsidP="0023283A"/>
    <w:p w14:paraId="20CDF7DF" w14:textId="6C3303C4" w:rsidR="0023283A" w:rsidRPr="00BF7BE4" w:rsidRDefault="0023283A" w:rsidP="0023283A">
      <w:r w:rsidRPr="00BF7BE4">
        <w:tab/>
        <w:t xml:space="preserve">If you find that </w:t>
      </w:r>
      <w:r>
        <w:t>the plaintiff has proved</w:t>
      </w:r>
      <w:r>
        <w:rPr>
          <w:szCs w:val="24"/>
        </w:rPr>
        <w:t xml:space="preserve"> all these</w:t>
      </w:r>
      <w:r w:rsidRPr="00BF7BE4">
        <w:rPr>
          <w:szCs w:val="24"/>
        </w:rPr>
        <w:t xml:space="preserve"> element</w:t>
      </w:r>
      <w:r>
        <w:rPr>
          <w:szCs w:val="24"/>
        </w:rPr>
        <w:t>s</w:t>
      </w:r>
      <w:r w:rsidRPr="00BF7BE4">
        <w:t xml:space="preserve">, your verdict should be for the plaintiff. If, on the other hand, the plaintiff has failed to prove any of these elements, your verdict should be for the defendant. </w:t>
      </w:r>
    </w:p>
    <w:p w14:paraId="18AAE8A0" w14:textId="77777777" w:rsidR="0023283A" w:rsidRPr="00BF7BE4" w:rsidRDefault="0023283A" w:rsidP="0023283A"/>
    <w:p w14:paraId="6FAB07F5" w14:textId="77777777" w:rsidR="0023283A" w:rsidRPr="00BF7BE4" w:rsidRDefault="0023283A" w:rsidP="0023283A">
      <w:pPr>
        <w:jc w:val="center"/>
        <w:rPr>
          <w:b/>
        </w:rPr>
      </w:pPr>
      <w:r w:rsidRPr="00BF7BE4">
        <w:rPr>
          <w:b/>
        </w:rPr>
        <w:t>Comment</w:t>
      </w:r>
    </w:p>
    <w:p w14:paraId="0F5D26F0" w14:textId="77777777" w:rsidR="0023283A" w:rsidRPr="00BF7BE4" w:rsidRDefault="0023283A" w:rsidP="0023283A"/>
    <w:p w14:paraId="03AB6C14" w14:textId="1D872ED2" w:rsidR="0023283A" w:rsidRPr="00BF7BE4" w:rsidRDefault="0023283A" w:rsidP="0023283A">
      <w:r w:rsidRPr="00BF7BE4">
        <w:tab/>
        <w:t xml:space="preserve">Regarding liability for inducing another to infringe a trademark, </w:t>
      </w:r>
      <w:r w:rsidRPr="00BF7BE4">
        <w:rPr>
          <w:i/>
        </w:rPr>
        <w:t>see Inwood Labs</w:t>
      </w:r>
      <w:r w:rsidRPr="00BF7BE4">
        <w:rPr>
          <w:i/>
          <w:iCs/>
          <w:szCs w:val="24"/>
        </w:rPr>
        <w:t>.</w:t>
      </w:r>
      <w:r>
        <w:rPr>
          <w:i/>
          <w:iCs/>
          <w:szCs w:val="24"/>
        </w:rPr>
        <w:t>,</w:t>
      </w:r>
      <w:r w:rsidRPr="00BF7BE4">
        <w:rPr>
          <w:i/>
        </w:rPr>
        <w:t xml:space="preserve"> Inc. v. Ives Labs</w:t>
      </w:r>
      <w:r w:rsidRPr="00BF7BE4">
        <w:rPr>
          <w:i/>
          <w:iCs/>
          <w:szCs w:val="24"/>
        </w:rPr>
        <w:t>.</w:t>
      </w:r>
      <w:r>
        <w:rPr>
          <w:i/>
          <w:iCs/>
          <w:szCs w:val="24"/>
        </w:rPr>
        <w:t>,</w:t>
      </w:r>
      <w:r w:rsidRPr="00BF7BE4">
        <w:rPr>
          <w:i/>
        </w:rPr>
        <w:t xml:space="preserve"> Inc.</w:t>
      </w:r>
      <w:r w:rsidRPr="00BF7BE4">
        <w:t xml:space="preserve">, 456 U.S. 844, 853-54 (1982) (“[I]f a manufacturer or distributor intentionally induces another to infringe a trademark, or if it continues to supply its product to one whom it knows or has reason to know is engaging in trademark infringement, the manufacturer is contributorily responsible for any harm done as a result of the deceit [by the direct infringer].”). </w:t>
      </w:r>
      <w:r w:rsidRPr="00BF7BE4">
        <w:rPr>
          <w:i/>
        </w:rPr>
        <w:t>See also Lockheed Martin Corp. v. Network Sols., Inc.</w:t>
      </w:r>
      <w:r w:rsidRPr="00BF7BE4">
        <w:t xml:space="preserve">, 194 F.3d 980, 983-84 (9th Cir. 1999) (noting that one branch of contributory infringement occurs when defendant “intentionally induces a third party to infringe the plaintiff’s mark”). </w:t>
      </w:r>
      <w:bookmarkEnd w:id="0"/>
    </w:p>
    <w:bookmarkEnd w:id="1"/>
    <w:p w14:paraId="1BAF2223" w14:textId="77777777" w:rsidR="00C30C2C" w:rsidRDefault="00C30C2C"/>
    <w:p w14:paraId="65B2D268" w14:textId="37F37E76" w:rsidR="0023283A" w:rsidRPr="001B7435" w:rsidRDefault="0023283A" w:rsidP="0023283A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23283A" w:rsidRPr="001B7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3A"/>
    <w:rsid w:val="001B7435"/>
    <w:rsid w:val="0023283A"/>
    <w:rsid w:val="00235FFF"/>
    <w:rsid w:val="00695F6A"/>
    <w:rsid w:val="006E771A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1EAE"/>
  <w15:chartTrackingRefBased/>
  <w15:docId w15:val="{F2DCC38D-BC4A-4D71-B2F2-641EF92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3A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23283A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2024-05-21T04:30:00Z</dcterms:created>
  <dcterms:modified xsi:type="dcterms:W3CDTF">2024-05-21T05:21:00Z</dcterms:modified>
</cp:coreProperties>
</file>