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AAF6" w14:textId="77777777" w:rsidR="003D6F5A" w:rsidRPr="0009095F" w:rsidRDefault="003D6F5A" w:rsidP="003D6F5A">
      <w:pPr>
        <w:jc w:val="center"/>
        <w:outlineLvl w:val="1"/>
        <w:rPr>
          <w:b/>
        </w:rPr>
      </w:pPr>
      <w:r w:rsidRPr="0009095F">
        <w:rPr>
          <w:b/>
        </w:rPr>
        <w:t xml:space="preserve">15.22 Defenses—Abandonment—Affirmative Defense—Defendant’s Burden of Proof </w:t>
      </w:r>
      <w:r w:rsidRPr="0009095F">
        <w:rPr>
          <w:b/>
        </w:rPr>
        <w:br/>
        <w:t>(15 U.S.C. § 1127)</w:t>
      </w:r>
    </w:p>
    <w:p w14:paraId="3A066E1F" w14:textId="77777777" w:rsidR="003D6F5A" w:rsidRPr="00BF7BE4" w:rsidRDefault="003D6F5A" w:rsidP="003D6F5A"/>
    <w:p w14:paraId="23BB6212" w14:textId="77777777" w:rsidR="003D6F5A" w:rsidRPr="00BF7BE4" w:rsidRDefault="003D6F5A" w:rsidP="003D6F5A">
      <w:r w:rsidRPr="00BF7BE4">
        <w:tab/>
        <w:t>The [owner] [assignee] [licensee] of a trademark cannot exclude others from using the trademark if it has been abandoned.</w:t>
      </w:r>
    </w:p>
    <w:p w14:paraId="66AE18F7" w14:textId="77777777" w:rsidR="003D6F5A" w:rsidRPr="00BF7BE4" w:rsidRDefault="003D6F5A" w:rsidP="003D6F5A"/>
    <w:p w14:paraId="4000A00F" w14:textId="007668BA" w:rsidR="003D6F5A" w:rsidRPr="00BF7BE4" w:rsidRDefault="003D6F5A" w:rsidP="003D6F5A">
      <w:r w:rsidRPr="00BF7BE4">
        <w:tab/>
        <w:t xml:space="preserve">The defendant contends that the trademark has become unenforceable because the [owner] [assignee] [licensee] abandoned it. The defendant has the burden of proving abandonment by [clear and convincing] [a preponderance of the] evidence. </w:t>
      </w:r>
    </w:p>
    <w:p w14:paraId="7309419A" w14:textId="77777777" w:rsidR="003D6F5A" w:rsidRPr="00BF7BE4" w:rsidRDefault="003D6F5A" w:rsidP="003D6F5A"/>
    <w:p w14:paraId="4526AF33" w14:textId="599C586C" w:rsidR="003D6F5A" w:rsidRPr="00BF7BE4" w:rsidRDefault="003D6F5A" w:rsidP="003D6F5A">
      <w:r w:rsidRPr="00BF7BE4">
        <w:tab/>
        <w:t>The [owner] [assignor] [licensor] of a trademark abandons the right to exclusive use of the trademark when the [owner] [assignor] [licensor</w:t>
      </w:r>
      <w:r w:rsidRPr="00BF7BE4">
        <w:rPr>
          <w:szCs w:val="24"/>
        </w:rPr>
        <w:t>]</w:t>
      </w:r>
      <w:r>
        <w:rPr>
          <w:szCs w:val="24"/>
        </w:rPr>
        <w:t xml:space="preserve"> does any one of the following</w:t>
      </w:r>
      <w:r w:rsidRPr="00BF7BE4">
        <w:rPr>
          <w:szCs w:val="24"/>
        </w:rPr>
        <w:t>:</w:t>
      </w:r>
      <w:r w:rsidRPr="00BF7BE4">
        <w:t xml:space="preserve"> </w:t>
      </w:r>
    </w:p>
    <w:p w14:paraId="781C13E9" w14:textId="77777777" w:rsidR="003D6F5A" w:rsidRPr="00BF7BE4" w:rsidRDefault="003D6F5A" w:rsidP="003D6F5A"/>
    <w:p w14:paraId="6834D06C" w14:textId="5DF9118F" w:rsidR="003D6F5A" w:rsidRPr="00BF7BE4" w:rsidRDefault="003D6F5A" w:rsidP="003D6F5A">
      <w:pPr>
        <w:ind w:firstLine="720"/>
      </w:pPr>
      <w:r>
        <w:rPr>
          <w:szCs w:val="24"/>
        </w:rPr>
        <w:t xml:space="preserve">First, </w:t>
      </w:r>
      <w:r w:rsidRPr="00BF7BE4">
        <w:t xml:space="preserve">discontinues its [good faith] use in the ordinary course of trade, intending not to resume using </w:t>
      </w:r>
      <w:proofErr w:type="gramStart"/>
      <w:r w:rsidRPr="00BF7BE4">
        <w:t>it;</w:t>
      </w:r>
      <w:proofErr w:type="gramEnd"/>
    </w:p>
    <w:p w14:paraId="4D2CA5F6" w14:textId="77777777" w:rsidR="003D6F5A" w:rsidRPr="00BF7BE4" w:rsidRDefault="003D6F5A" w:rsidP="003D6F5A">
      <w:pPr>
        <w:ind w:firstLine="720"/>
      </w:pPr>
    </w:p>
    <w:p w14:paraId="44E7A955" w14:textId="75981E77" w:rsidR="003D6F5A" w:rsidRPr="00BF7BE4" w:rsidRDefault="003D6F5A" w:rsidP="003D6F5A">
      <w:pPr>
        <w:ind w:firstLine="720"/>
      </w:pPr>
      <w:r>
        <w:rPr>
          <w:szCs w:val="24"/>
        </w:rPr>
        <w:t xml:space="preserve">Second, </w:t>
      </w:r>
      <w:r w:rsidRPr="00BF7BE4">
        <w:t>[acts] [or] [fails to act] so that the trademark’s [primary significance] [primary meaning] [principal significance] [principal meaning] to prospective consumers has become the [</w:t>
      </w:r>
      <w:r>
        <w:rPr>
          <w:szCs w:val="24"/>
        </w:rPr>
        <w:t>good</w:t>
      </w:r>
      <w:r w:rsidRPr="00BF7BE4">
        <w:t xml:space="preserve">] itself and not the [producer of the </w:t>
      </w:r>
      <w:r>
        <w:rPr>
          <w:szCs w:val="24"/>
        </w:rPr>
        <w:t>good</w:t>
      </w:r>
      <w:r w:rsidRPr="00BF7BE4">
        <w:t xml:space="preserve">]; or </w:t>
      </w:r>
    </w:p>
    <w:p w14:paraId="0657E8FD" w14:textId="77777777" w:rsidR="003D6F5A" w:rsidRPr="00BF7BE4" w:rsidRDefault="003D6F5A" w:rsidP="003D6F5A">
      <w:pPr>
        <w:ind w:firstLine="720"/>
      </w:pPr>
    </w:p>
    <w:p w14:paraId="7591F3D8" w14:textId="0C1193D5" w:rsidR="003D6F5A" w:rsidRPr="00BF7BE4" w:rsidRDefault="003D6F5A" w:rsidP="003D6F5A">
      <w:pPr>
        <w:ind w:firstLine="720"/>
      </w:pPr>
      <w:r>
        <w:rPr>
          <w:szCs w:val="24"/>
        </w:rPr>
        <w:t>Third,</w:t>
      </w:r>
      <w:r w:rsidRPr="00BF7BE4" w:rsidDel="00D95527">
        <w:rPr>
          <w:szCs w:val="24"/>
        </w:rPr>
        <w:t xml:space="preserve"> </w:t>
      </w:r>
      <w:r w:rsidRPr="00BF7BE4">
        <w:t>fails to exercise adequate quality control over the [goods] sold under the trademark by a licensee.</w:t>
      </w:r>
    </w:p>
    <w:p w14:paraId="7B449FAC" w14:textId="77777777" w:rsidR="003D6F5A" w:rsidRPr="00BF7BE4" w:rsidRDefault="003D6F5A" w:rsidP="003D6F5A"/>
    <w:p w14:paraId="12AE9395" w14:textId="77777777" w:rsidR="003D6F5A" w:rsidRPr="00BF7BE4" w:rsidRDefault="003D6F5A" w:rsidP="003D6F5A">
      <w:pPr>
        <w:jc w:val="center"/>
        <w:rPr>
          <w:b/>
        </w:rPr>
      </w:pPr>
      <w:r w:rsidRPr="00BF7BE4">
        <w:rPr>
          <w:b/>
        </w:rPr>
        <w:t>Comment</w:t>
      </w:r>
    </w:p>
    <w:p w14:paraId="4E60659D" w14:textId="77777777" w:rsidR="003D6F5A" w:rsidRPr="00BF7BE4" w:rsidRDefault="003D6F5A" w:rsidP="003D6F5A"/>
    <w:p w14:paraId="6327117F" w14:textId="7B81DB28" w:rsidR="003D6F5A" w:rsidRPr="00BF7BE4" w:rsidRDefault="003D6F5A" w:rsidP="003D6F5A">
      <w:r w:rsidRPr="00BF7BE4">
        <w:tab/>
        <w:t>Abandonment is defined in 15 U.S.C.</w:t>
      </w:r>
      <w:r>
        <w:t xml:space="preserve"> </w:t>
      </w:r>
      <w:r w:rsidRPr="00BF7BE4">
        <w:t xml:space="preserve">§ 1127, paragraph 16. </w:t>
      </w:r>
      <w:r w:rsidRPr="00BF7BE4">
        <w:rPr>
          <w:i/>
        </w:rPr>
        <w:t xml:space="preserve">See also </w:t>
      </w:r>
      <w:r w:rsidRPr="00BF7BE4">
        <w:t xml:space="preserve">3 </w:t>
      </w:r>
      <w:r w:rsidRPr="00BF7BE4">
        <w:rPr>
          <w:smallCaps/>
        </w:rPr>
        <w:t xml:space="preserve">J. Thomas McCarthy, </w:t>
      </w:r>
      <w:r>
        <w:rPr>
          <w:smallCaps/>
          <w:szCs w:val="24"/>
        </w:rPr>
        <w:t xml:space="preserve">McCarthy on </w:t>
      </w:r>
      <w:r w:rsidRPr="00BF7BE4">
        <w:rPr>
          <w:smallCaps/>
        </w:rPr>
        <w:t xml:space="preserve">Trademarks </w:t>
      </w:r>
      <w:r>
        <w:rPr>
          <w:smallCaps/>
          <w:szCs w:val="24"/>
        </w:rPr>
        <w:t>a</w:t>
      </w:r>
      <w:r w:rsidRPr="00BF7BE4">
        <w:rPr>
          <w:smallCaps/>
          <w:szCs w:val="24"/>
        </w:rPr>
        <w:t>nd</w:t>
      </w:r>
      <w:r w:rsidRPr="00BF7BE4">
        <w:rPr>
          <w:smallCaps/>
        </w:rPr>
        <w:t xml:space="preserve"> Unfair Competition</w:t>
      </w:r>
      <w:r w:rsidRPr="00BF7BE4">
        <w:t xml:space="preserve"> § 17:18 (</w:t>
      </w:r>
      <w:r>
        <w:rPr>
          <w:szCs w:val="24"/>
        </w:rPr>
        <w:t>5</w:t>
      </w:r>
      <w:r w:rsidRPr="00BF7BE4">
        <w:rPr>
          <w:szCs w:val="24"/>
        </w:rPr>
        <w:t>th</w:t>
      </w:r>
      <w:r w:rsidRPr="00BF7BE4">
        <w:t xml:space="preserve"> ed. </w:t>
      </w:r>
      <w:r w:rsidRPr="00BF7BE4">
        <w:rPr>
          <w:szCs w:val="24"/>
        </w:rPr>
        <w:t>201</w:t>
      </w:r>
      <w:r>
        <w:rPr>
          <w:szCs w:val="24"/>
        </w:rPr>
        <w:t>9</w:t>
      </w:r>
      <w:r w:rsidRPr="00BF7BE4">
        <w:rPr>
          <w:szCs w:val="24"/>
        </w:rPr>
        <w:t>)</w:t>
      </w:r>
      <w:r>
        <w:rPr>
          <w:szCs w:val="24"/>
        </w:rPr>
        <w:t>;</w:t>
      </w:r>
      <w:r w:rsidRPr="00BF7BE4">
        <w:t xml:space="preserve"> </w:t>
      </w:r>
      <w:r w:rsidRPr="00BF7BE4">
        <w:rPr>
          <w:i/>
        </w:rPr>
        <w:t xml:space="preserve">Electro Source, LLC v. </w:t>
      </w:r>
      <w:proofErr w:type="spellStart"/>
      <w:r w:rsidRPr="00BF7BE4">
        <w:rPr>
          <w:i/>
        </w:rPr>
        <w:t>Brandess</w:t>
      </w:r>
      <w:proofErr w:type="spellEnd"/>
      <w:r w:rsidRPr="00BF7BE4">
        <w:rPr>
          <w:i/>
        </w:rPr>
        <w:t>-</w:t>
      </w:r>
      <w:proofErr w:type="spellStart"/>
      <w:r w:rsidRPr="00BF7BE4">
        <w:rPr>
          <w:i/>
        </w:rPr>
        <w:t>Kalt</w:t>
      </w:r>
      <w:proofErr w:type="spellEnd"/>
      <w:r w:rsidRPr="00BF7BE4">
        <w:rPr>
          <w:i/>
        </w:rPr>
        <w:t>-Aetna Grp., Inc.</w:t>
      </w:r>
      <w:r w:rsidRPr="00BF7BE4">
        <w:t>, 458 F.3d 931, 938 (9th Cir. 2006) (“[A]</w:t>
      </w:r>
      <w:proofErr w:type="spellStart"/>
      <w:r w:rsidRPr="00BF7BE4">
        <w:t>bandonment</w:t>
      </w:r>
      <w:proofErr w:type="spellEnd"/>
      <w:r w:rsidRPr="00BF7BE4">
        <w:t xml:space="preserve"> requires </w:t>
      </w:r>
      <w:r w:rsidRPr="00BF7BE4">
        <w:rPr>
          <w:i/>
        </w:rPr>
        <w:t>complete</w:t>
      </w:r>
      <w:r w:rsidRPr="00BF7BE4">
        <w:t xml:space="preserve"> cessation or discontinuance of trademark use</w:t>
      </w:r>
      <w:r>
        <w:t>.</w:t>
      </w:r>
      <w:r w:rsidRPr="00BF7BE4">
        <w:t xml:space="preserve">”). Abandonment “is generally a factual issue.” </w:t>
      </w:r>
      <w:r w:rsidRPr="00BF7BE4">
        <w:rPr>
          <w:i/>
        </w:rPr>
        <w:t>Id.</w:t>
      </w:r>
      <w:r w:rsidRPr="00BF7BE4">
        <w:t xml:space="preserve"> at 937. As to abandonment by uncontrolled or “naked” licensing, </w:t>
      </w:r>
      <w:r w:rsidRPr="00BF7BE4">
        <w:rPr>
          <w:i/>
        </w:rPr>
        <w:t xml:space="preserve">see </w:t>
      </w:r>
      <w:proofErr w:type="spellStart"/>
      <w:r w:rsidRPr="00BF7BE4">
        <w:rPr>
          <w:i/>
        </w:rPr>
        <w:t>Barcamerica</w:t>
      </w:r>
      <w:proofErr w:type="spellEnd"/>
      <w:r w:rsidRPr="00BF7BE4">
        <w:rPr>
          <w:i/>
        </w:rPr>
        <w:t xml:space="preserve"> Int’l USA Trust v. </w:t>
      </w:r>
      <w:proofErr w:type="spellStart"/>
      <w:r w:rsidRPr="00BF7BE4">
        <w:rPr>
          <w:i/>
        </w:rPr>
        <w:t>Tyfield</w:t>
      </w:r>
      <w:proofErr w:type="spellEnd"/>
      <w:r w:rsidRPr="00BF7BE4">
        <w:rPr>
          <w:i/>
        </w:rPr>
        <w:t xml:space="preserve"> Imps., Inc.</w:t>
      </w:r>
      <w:r w:rsidRPr="00BF7BE4">
        <w:t>, 289 F.3d 589, 595-96 (9th Cir. 2002).</w:t>
      </w:r>
      <w:r w:rsidRPr="00BF7BE4">
        <w:tab/>
      </w:r>
    </w:p>
    <w:p w14:paraId="6CD730B1" w14:textId="77777777" w:rsidR="003D6F5A" w:rsidRPr="00BF7BE4" w:rsidRDefault="003D6F5A" w:rsidP="003D6F5A"/>
    <w:p w14:paraId="1673E44C" w14:textId="75C609E4" w:rsidR="003D6F5A" w:rsidRPr="00BF7BE4" w:rsidRDefault="003D6F5A" w:rsidP="003D6F5A">
      <w:r w:rsidRPr="00BF7BE4">
        <w:tab/>
        <w:t>The defendant has the burden of proving abandonment. Evidence of non-use of the mark for three consecutive years is prima facie evidence of abandonment.</w:t>
      </w:r>
      <w:r w:rsidRPr="00BF7BE4">
        <w:rPr>
          <w:i/>
        </w:rPr>
        <w:t xml:space="preserve"> See</w:t>
      </w:r>
      <w:r w:rsidRPr="00BF7BE4">
        <w:t xml:space="preserve"> 15 U.S.C. § 1127; </w:t>
      </w:r>
      <w:r w:rsidRPr="00BF7BE4">
        <w:rPr>
          <w:i/>
        </w:rPr>
        <w:t xml:space="preserve">Abdul-Jabbar v. </w:t>
      </w:r>
      <w:r w:rsidRPr="00BF7BE4">
        <w:rPr>
          <w:i/>
          <w:iCs/>
          <w:szCs w:val="24"/>
        </w:rPr>
        <w:t>Gen</w:t>
      </w:r>
      <w:r>
        <w:rPr>
          <w:i/>
          <w:iCs/>
          <w:szCs w:val="24"/>
        </w:rPr>
        <w:t>.</w:t>
      </w:r>
      <w:r w:rsidRPr="00BF7BE4">
        <w:rPr>
          <w:i/>
        </w:rPr>
        <w:t xml:space="preserve"> Motors Corp</w:t>
      </w:r>
      <w:r w:rsidRPr="00BF7BE4">
        <w:t xml:space="preserve">., 85 F.3d 407, 411-12 (9th Cir. 1996) (holding that prima facie showing of abandonment creates only a rebuttable presumption of abandonment). When the defendant proves the necessary consecutive years of non-use, the burden shifts to the plaintiff to go forward with evidence to prove that circumstances do not justify the inference of intent not to resume use. </w:t>
      </w:r>
      <w:r w:rsidRPr="00BF7BE4">
        <w:rPr>
          <w:i/>
        </w:rPr>
        <w:t xml:space="preserve">Exxon Corp. v. Humble </w:t>
      </w:r>
      <w:proofErr w:type="spellStart"/>
      <w:r w:rsidRPr="00BF7BE4">
        <w:rPr>
          <w:i/>
          <w:iCs/>
          <w:szCs w:val="24"/>
        </w:rPr>
        <w:t>Expl</w:t>
      </w:r>
      <w:proofErr w:type="spellEnd"/>
      <w:r>
        <w:rPr>
          <w:i/>
          <w:iCs/>
          <w:szCs w:val="24"/>
        </w:rPr>
        <w:t>.</w:t>
      </w:r>
      <w:r w:rsidRPr="00BF7BE4">
        <w:rPr>
          <w:i/>
        </w:rPr>
        <w:t xml:space="preserve"> Co.</w:t>
      </w:r>
      <w:r w:rsidRPr="00BF7BE4">
        <w:t>, 695 F.2d 96, 99 (5th Cir.</w:t>
      </w:r>
      <w:r>
        <w:t xml:space="preserve"> </w:t>
      </w:r>
      <w:r w:rsidRPr="00BF7BE4">
        <w:t xml:space="preserve">1983). </w:t>
      </w:r>
      <w:r w:rsidRPr="00BF7BE4">
        <w:tab/>
      </w:r>
    </w:p>
    <w:p w14:paraId="770A03F5" w14:textId="77777777" w:rsidR="003D6F5A" w:rsidRPr="00BF7BE4" w:rsidRDefault="003D6F5A" w:rsidP="003D6F5A"/>
    <w:p w14:paraId="78A696BC" w14:textId="1E13085C" w:rsidR="00C30C2C" w:rsidRDefault="003D6F5A">
      <w:r w:rsidRPr="00BF7BE4">
        <w:tab/>
        <w:t xml:space="preserve">No Ninth Circuit case establishes the standard of proof required to prove abandonment as between “clear and convincing” and “preponderance.” </w:t>
      </w:r>
      <w:r w:rsidRPr="00BF7BE4">
        <w:rPr>
          <w:i/>
        </w:rPr>
        <w:t>See Electro Source, LLC</w:t>
      </w:r>
      <w:r w:rsidRPr="00BF7BE4">
        <w:t>, 458 F.3d at 935 n.2 (noting that defendant, “as the party asserting abandonment, is required to ‘strictly prove’ its claim</w:t>
      </w:r>
      <w:proofErr w:type="gramStart"/>
      <w:r w:rsidRPr="00BF7BE4">
        <w:t xml:space="preserve">. </w:t>
      </w:r>
      <w:r>
        <w:rPr>
          <w:szCs w:val="24"/>
        </w:rPr>
        <w:t>. . .</w:t>
      </w:r>
      <w:proofErr w:type="gramEnd"/>
      <w:r>
        <w:rPr>
          <w:szCs w:val="24"/>
        </w:rPr>
        <w:t xml:space="preserve"> </w:t>
      </w:r>
      <w:r w:rsidRPr="00BF7BE4">
        <w:t>We do not need to flesh out the contours of the ‘strict proof’ standard because our resolution of this summary judgment appeal rests on the proper legal construction of § 1127</w:t>
      </w:r>
      <w:r>
        <w:t>.</w:t>
      </w:r>
      <w:r w:rsidRPr="00BF7BE4">
        <w:t xml:space="preserve">”) </w:t>
      </w:r>
      <w:r w:rsidRPr="00BF7BE4">
        <w:lastRenderedPageBreak/>
        <w:t>(</w:t>
      </w:r>
      <w:proofErr w:type="gramStart"/>
      <w:r w:rsidRPr="00BF7BE4">
        <w:t>collecting</w:t>
      </w:r>
      <w:proofErr w:type="gramEnd"/>
      <w:r w:rsidRPr="00BF7BE4">
        <w:t xml:space="preserve"> other “strict proof” cases); </w:t>
      </w:r>
      <w:r w:rsidRPr="00BF7BE4">
        <w:rPr>
          <w:i/>
        </w:rPr>
        <w:t>Grocery Outlet, Inc. v. Albertson’s Inc.</w:t>
      </w:r>
      <w:r w:rsidRPr="00BF7BE4">
        <w:t xml:space="preserve">, 497 F.3d 949, 951 (9th Cir. 2007) (stating that because appellant waived its challenge to clear and convincing standard, the Ninth Circuit “need not resolve the burden of proof issue”). </w:t>
      </w:r>
      <w:r>
        <w:rPr>
          <w:szCs w:val="24"/>
        </w:rPr>
        <w:t>E</w:t>
      </w:r>
      <w:r w:rsidRPr="00BF7BE4">
        <w:rPr>
          <w:szCs w:val="24"/>
        </w:rPr>
        <w:t>xcept for the Federal Circuit</w:t>
      </w:r>
      <w:r>
        <w:rPr>
          <w:szCs w:val="24"/>
        </w:rPr>
        <w:t>’s view that in inter-</w:t>
      </w:r>
      <w:proofErr w:type="spellStart"/>
      <w:r>
        <w:rPr>
          <w:szCs w:val="24"/>
        </w:rPr>
        <w:t>partes</w:t>
      </w:r>
      <w:proofErr w:type="spellEnd"/>
      <w:r>
        <w:rPr>
          <w:szCs w:val="24"/>
        </w:rPr>
        <w:t xml:space="preserve"> proceedings before the Trademark Trial and Appeal Board preponderance of the evidence is the standard of proof</w:t>
      </w:r>
      <w:r w:rsidRPr="00BF7BE4">
        <w:t xml:space="preserve">, “all” courts follow a clear and convincing standard of proof of abandonment. </w:t>
      </w:r>
      <w:r w:rsidRPr="00BF7BE4">
        <w:rPr>
          <w:i/>
        </w:rPr>
        <w:t>See</w:t>
      </w:r>
      <w:r w:rsidRPr="00BF7BE4">
        <w:t xml:space="preserve"> </w:t>
      </w:r>
      <w:r w:rsidRPr="00BF7BE4">
        <w:rPr>
          <w:smallCaps/>
        </w:rPr>
        <w:t xml:space="preserve">McCarthy, </w:t>
      </w:r>
      <w:r w:rsidRPr="0009095F">
        <w:rPr>
          <w:i/>
          <w:iCs/>
          <w:szCs w:val="24"/>
        </w:rPr>
        <w:t>supra</w:t>
      </w:r>
      <w:r>
        <w:rPr>
          <w:smallCaps/>
          <w:szCs w:val="24"/>
        </w:rPr>
        <w:t>,</w:t>
      </w:r>
      <w:r w:rsidRPr="00BF7BE4">
        <w:t xml:space="preserve"> § 17:12</w:t>
      </w:r>
      <w:r>
        <w:t>.</w:t>
      </w:r>
    </w:p>
    <w:p w14:paraId="05968BA4" w14:textId="77777777" w:rsidR="009C5850" w:rsidRDefault="009C5850"/>
    <w:p w14:paraId="2ECB95B6" w14:textId="6369F3A7" w:rsidR="003D6F5A" w:rsidRPr="009C5850" w:rsidRDefault="003D6F5A" w:rsidP="003D6F5A">
      <w:pPr>
        <w:jc w:val="right"/>
        <w:rPr>
          <w:i/>
          <w:iCs/>
        </w:rPr>
      </w:pPr>
      <w:r>
        <w:rPr>
          <w:i/>
          <w:iCs/>
        </w:rPr>
        <w:t>Revised March 2024</w:t>
      </w:r>
    </w:p>
    <w:sectPr w:rsidR="003D6F5A" w:rsidRPr="009C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5A"/>
    <w:rsid w:val="00235FFF"/>
    <w:rsid w:val="003D6F5A"/>
    <w:rsid w:val="00695F6A"/>
    <w:rsid w:val="006E771A"/>
    <w:rsid w:val="009C5850"/>
    <w:rsid w:val="00BC67C9"/>
    <w:rsid w:val="00C30C2C"/>
    <w:rsid w:val="00DB7C92"/>
    <w:rsid w:val="00E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EC00C"/>
  <w15:chartTrackingRefBased/>
  <w15:docId w15:val="{6671B0AC-EB62-45D7-81DD-5B346545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5A"/>
    <w:pPr>
      <w:autoSpaceDE w:val="0"/>
      <w:autoSpaceDN w:val="0"/>
      <w:adjustRightInd w:val="0"/>
    </w:pPr>
    <w:rPr>
      <w:kern w:val="0"/>
      <w:sz w:val="24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autoSpaceDE/>
      <w:autoSpaceDN/>
      <w:adjustRightInd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paragraph" w:styleId="Revision">
    <w:name w:val="Revision"/>
    <w:hidden/>
    <w:uiPriority w:val="99"/>
    <w:semiHidden/>
    <w:rsid w:val="003D6F5A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2</cp:revision>
  <dcterms:created xsi:type="dcterms:W3CDTF">2024-05-21T04:36:00Z</dcterms:created>
  <dcterms:modified xsi:type="dcterms:W3CDTF">2024-05-21T05:22:00Z</dcterms:modified>
</cp:coreProperties>
</file>