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F58A" w14:textId="77777777" w:rsidR="00B94EFC" w:rsidRPr="0009095F" w:rsidRDefault="00B94EFC" w:rsidP="00B94EFC">
      <w:pPr>
        <w:jc w:val="center"/>
        <w:outlineLvl w:val="1"/>
        <w:rPr>
          <w:b/>
        </w:rPr>
      </w:pPr>
      <w:r w:rsidRPr="0009095F">
        <w:rPr>
          <w:b/>
        </w:rPr>
        <w:t xml:space="preserve">15.23 Defenses—Continuous Prior Use Within Remote Geographic </w:t>
      </w:r>
      <w:r w:rsidRPr="0009095F">
        <w:rPr>
          <w:b/>
        </w:rPr>
        <w:br/>
        <w:t>Area—Affirmative Defense (15 U.S.C. § 1115(b)(5))</w:t>
      </w:r>
    </w:p>
    <w:p w14:paraId="526F84B3" w14:textId="77777777" w:rsidR="00B94EFC" w:rsidRPr="00BF7BE4" w:rsidRDefault="00B94EFC" w:rsidP="00B94EFC"/>
    <w:p w14:paraId="1B42B181" w14:textId="77777777" w:rsidR="00B94EFC" w:rsidRPr="00BF7BE4" w:rsidRDefault="00B94EFC" w:rsidP="00B94EFC">
      <w:r w:rsidRPr="00BF7BE4">
        <w:tab/>
        <w:t xml:space="preserve">An owner of a registered trademark may not exclude others who began using [that] [a confusingly similar] trademark in a geographic area, without knowledge of the owner’s prior use of [the] [a similar] trademark elsewhere, and before the owner had [applied for registration of the] [registered the] [published the registered] trademark. </w:t>
      </w:r>
    </w:p>
    <w:p w14:paraId="68A0599C" w14:textId="77777777" w:rsidR="00B94EFC" w:rsidRPr="00BF7BE4" w:rsidRDefault="00B94EFC" w:rsidP="00B94EFC"/>
    <w:p w14:paraId="6A9A94E7" w14:textId="77777777" w:rsidR="00B94EFC" w:rsidRPr="00BF7BE4" w:rsidRDefault="00B94EFC" w:rsidP="00B94EFC">
      <w:r w:rsidRPr="00BF7BE4">
        <w:tab/>
        <w:t>The defendant contends that defendant has the right to use the trademark within the [</w:t>
      </w:r>
      <w:r w:rsidRPr="00BF7BE4">
        <w:rPr>
          <w:i/>
          <w:u w:val="single"/>
        </w:rPr>
        <w:t>specify geographic region</w:t>
      </w:r>
      <w:r w:rsidRPr="00BF7BE4">
        <w:t xml:space="preserve">] area. </w:t>
      </w:r>
    </w:p>
    <w:p w14:paraId="474F5CF3" w14:textId="77777777" w:rsidR="00B94EFC" w:rsidRPr="00BF7BE4" w:rsidRDefault="00B94EFC" w:rsidP="00B94EFC"/>
    <w:p w14:paraId="4AADB9DB" w14:textId="77777777" w:rsidR="00B94EFC" w:rsidRPr="00BF7BE4" w:rsidRDefault="00B94EFC" w:rsidP="00B94EFC">
      <w:r w:rsidRPr="00BF7BE4">
        <w:tab/>
        <w:t xml:space="preserve">The defendant has the burden of proving each of the following by a preponderance of the evidence: </w:t>
      </w:r>
    </w:p>
    <w:p w14:paraId="05BFEFC3" w14:textId="77777777" w:rsidR="00B94EFC" w:rsidRPr="00BF7BE4" w:rsidRDefault="00B94EFC" w:rsidP="00B94EFC"/>
    <w:p w14:paraId="2F5DC037" w14:textId="41ABB3F1" w:rsidR="00B94EFC" w:rsidRPr="00BF7BE4" w:rsidRDefault="00B94EFC" w:rsidP="00B94EFC">
      <w:pPr>
        <w:ind w:left="720"/>
      </w:pPr>
      <w:r>
        <w:t xml:space="preserve">First, </w:t>
      </w:r>
      <w:r w:rsidRPr="00BF7BE4">
        <w:t>the [defendant] [defendant’s assignor] [defendant’s licensor] continuously used the trademark, without interruption, in [</w:t>
      </w:r>
      <w:r w:rsidRPr="00BF7BE4">
        <w:rPr>
          <w:i/>
          <w:u w:val="single"/>
        </w:rPr>
        <w:t>geographic region where defendant claims prior use</w:t>
      </w:r>
      <w:proofErr w:type="gramStart"/>
      <w:r w:rsidRPr="00BF7BE4">
        <w:t>];</w:t>
      </w:r>
      <w:proofErr w:type="gramEnd"/>
      <w:r w:rsidRPr="00BF7BE4">
        <w:t xml:space="preserve"> </w:t>
      </w:r>
    </w:p>
    <w:p w14:paraId="3AA3D68C" w14:textId="77777777" w:rsidR="00B94EFC" w:rsidRPr="00BF7BE4" w:rsidRDefault="00B94EFC" w:rsidP="00B94EFC"/>
    <w:p w14:paraId="3A6A8729" w14:textId="73230235" w:rsidR="00B94EFC" w:rsidRPr="00BF7BE4" w:rsidRDefault="00B94EFC" w:rsidP="00B94EFC">
      <w:pPr>
        <w:ind w:left="720"/>
      </w:pPr>
      <w:r>
        <w:t xml:space="preserve">Second, </w:t>
      </w:r>
      <w:r w:rsidRPr="00BF7BE4">
        <w:t xml:space="preserve">the [defendant] [defendant’s assignor] [defendant’s licensor] began using the trademark without knowledge of the plaintiff’s prior use elsewhere; and </w:t>
      </w:r>
    </w:p>
    <w:p w14:paraId="23D0029E" w14:textId="77777777" w:rsidR="00B94EFC" w:rsidRPr="00BF7BE4" w:rsidRDefault="00B94EFC" w:rsidP="00B94EFC"/>
    <w:p w14:paraId="7E012F40" w14:textId="2118AD68" w:rsidR="00B94EFC" w:rsidRPr="00BF7BE4" w:rsidRDefault="00B94EFC" w:rsidP="00B94EFC">
      <w:pPr>
        <w:ind w:left="720"/>
      </w:pPr>
      <w:r>
        <w:t xml:space="preserve">Third, </w:t>
      </w:r>
      <w:r w:rsidRPr="00BF7BE4">
        <w:t xml:space="preserve">the defendant used the trademark before the plaintiff [applied for registration of the] [registered the] [published the registered] trademark. </w:t>
      </w:r>
    </w:p>
    <w:p w14:paraId="0E7EB1E0" w14:textId="77777777" w:rsidR="00B94EFC" w:rsidRPr="00BF7BE4" w:rsidRDefault="00B94EFC" w:rsidP="00B94EFC"/>
    <w:p w14:paraId="2D7A8929" w14:textId="77777777" w:rsidR="00B94EFC" w:rsidRPr="00BF7BE4" w:rsidRDefault="00B94EFC" w:rsidP="00B94EFC">
      <w:pPr>
        <w:jc w:val="center"/>
        <w:rPr>
          <w:b/>
        </w:rPr>
      </w:pPr>
      <w:r w:rsidRPr="00BF7BE4">
        <w:rPr>
          <w:b/>
        </w:rPr>
        <w:t>Comment</w:t>
      </w:r>
    </w:p>
    <w:p w14:paraId="50ECB8DE" w14:textId="77777777" w:rsidR="00B94EFC" w:rsidRPr="00BF7BE4" w:rsidRDefault="00B94EFC" w:rsidP="00B94EFC"/>
    <w:p w14:paraId="247D07B9" w14:textId="53118C0C" w:rsidR="00B94EFC" w:rsidRPr="00BF7BE4" w:rsidRDefault="00B94EFC" w:rsidP="00B94EFC">
      <w:r w:rsidRPr="00BF7BE4">
        <w:tab/>
        <w:t xml:space="preserve">The defendant has the burden of pleading and proving the elements of this defense. </w:t>
      </w:r>
      <w:r w:rsidRPr="00BF7BE4">
        <w:rPr>
          <w:i/>
        </w:rPr>
        <w:t>See Philip Morris, Inc. v. Imperial Tobacco Co</w:t>
      </w:r>
      <w:r w:rsidRPr="00BF7BE4">
        <w:t>., 251 F. Supp. 362, 379 (E.D.</w:t>
      </w:r>
      <w:r>
        <w:rPr>
          <w:szCs w:val="24"/>
        </w:rPr>
        <w:t xml:space="preserve"> </w:t>
      </w:r>
      <w:r w:rsidRPr="00BF7BE4">
        <w:t>Va.</w:t>
      </w:r>
      <w:r>
        <w:rPr>
          <w:szCs w:val="24"/>
        </w:rPr>
        <w:t xml:space="preserve"> </w:t>
      </w:r>
      <w:r w:rsidRPr="00BF7BE4">
        <w:t xml:space="preserve">1965), </w:t>
      </w:r>
      <w:r w:rsidRPr="00BF7BE4">
        <w:rPr>
          <w:i/>
        </w:rPr>
        <w:t>aff’d</w:t>
      </w:r>
      <w:r w:rsidRPr="00BF7BE4">
        <w:t>, 401 F.2d 179 (4th Cir.</w:t>
      </w:r>
      <w:r>
        <w:rPr>
          <w:szCs w:val="24"/>
        </w:rPr>
        <w:t xml:space="preserve"> </w:t>
      </w:r>
      <w:r w:rsidRPr="00BF7BE4">
        <w:t xml:space="preserve">1968); 5 </w:t>
      </w:r>
      <w:r w:rsidRPr="00BF7BE4">
        <w:rPr>
          <w:smallCaps/>
        </w:rPr>
        <w:t xml:space="preserve">J. Thomas McCarthy, </w:t>
      </w:r>
      <w:r>
        <w:rPr>
          <w:smallCaps/>
          <w:szCs w:val="24"/>
        </w:rPr>
        <w:t xml:space="preserve">McCarthy on </w:t>
      </w:r>
      <w:r w:rsidRPr="00BF7BE4">
        <w:rPr>
          <w:smallCaps/>
        </w:rPr>
        <w:t xml:space="preserve">Trademarks </w:t>
      </w:r>
      <w:r>
        <w:rPr>
          <w:smallCaps/>
          <w:szCs w:val="24"/>
        </w:rPr>
        <w:t>a</w:t>
      </w:r>
      <w:r w:rsidRPr="00BF7BE4">
        <w:rPr>
          <w:smallCaps/>
          <w:szCs w:val="24"/>
        </w:rPr>
        <w:t>nd</w:t>
      </w:r>
      <w:r w:rsidRPr="00BF7BE4">
        <w:rPr>
          <w:smallCaps/>
        </w:rPr>
        <w:t xml:space="preserve"> Unfair Competition</w:t>
      </w:r>
      <w:r w:rsidRPr="00BF7BE4">
        <w:t xml:space="preserve"> § 26:44 (</w:t>
      </w:r>
      <w:r>
        <w:rPr>
          <w:szCs w:val="24"/>
        </w:rPr>
        <w:t>5</w:t>
      </w:r>
      <w:r w:rsidRPr="00BF7BE4">
        <w:rPr>
          <w:szCs w:val="24"/>
        </w:rPr>
        <w:t>th</w:t>
      </w:r>
      <w:r w:rsidRPr="00BF7BE4">
        <w:t xml:space="preserve"> ed. </w:t>
      </w:r>
      <w:r w:rsidRPr="00BF7BE4">
        <w:rPr>
          <w:szCs w:val="24"/>
        </w:rPr>
        <w:t>201</w:t>
      </w:r>
      <w:r>
        <w:rPr>
          <w:szCs w:val="24"/>
        </w:rPr>
        <w:t>9</w:t>
      </w:r>
      <w:r w:rsidRPr="00BF7BE4">
        <w:t xml:space="preserve">). </w:t>
      </w:r>
    </w:p>
    <w:p w14:paraId="6B9E0D56" w14:textId="77777777" w:rsidR="00B94EFC" w:rsidRPr="00BF7BE4" w:rsidRDefault="00B94EFC" w:rsidP="00B94EFC"/>
    <w:p w14:paraId="297280DF" w14:textId="21062C0B" w:rsidR="00B94EFC" w:rsidRPr="00BF7BE4" w:rsidRDefault="00B94EFC" w:rsidP="00B94EFC">
      <w:r w:rsidRPr="00BF7BE4">
        <w:tab/>
        <w:t xml:space="preserve">“Continuous” means lack of interruption. </w:t>
      </w:r>
      <w:r w:rsidRPr="00BF7BE4">
        <w:rPr>
          <w:i/>
        </w:rPr>
        <w:t xml:space="preserve">See Casual Corner Assocs., Inc. v. Casual Stores of </w:t>
      </w:r>
      <w:r w:rsidRPr="00BF7BE4">
        <w:rPr>
          <w:i/>
          <w:iCs/>
          <w:szCs w:val="24"/>
        </w:rPr>
        <w:t>Nev</w:t>
      </w:r>
      <w:r>
        <w:rPr>
          <w:i/>
          <w:iCs/>
          <w:szCs w:val="24"/>
        </w:rPr>
        <w:t>.</w:t>
      </w:r>
      <w:r w:rsidRPr="00BF7BE4">
        <w:rPr>
          <w:i/>
          <w:iCs/>
          <w:szCs w:val="24"/>
        </w:rPr>
        <w:t>,</w:t>
      </w:r>
      <w:r w:rsidRPr="00BF7BE4">
        <w:rPr>
          <w:i/>
        </w:rPr>
        <w:t xml:space="preserve"> Inc.</w:t>
      </w:r>
      <w:r w:rsidRPr="00BF7BE4">
        <w:t xml:space="preserve">, 493 F.2d 709, 712 (9th Cir. 1974). The dimensions of the geographic area are a question of fact, determined in terms of the relevant zones of sales, advertising, and reputation as of the date of </w:t>
      </w:r>
      <w:r>
        <w:rPr>
          <w:szCs w:val="24"/>
        </w:rPr>
        <w:t xml:space="preserve">the </w:t>
      </w:r>
      <w:r w:rsidRPr="00BF7BE4">
        <w:t xml:space="preserve">plaintiff’s registration. </w:t>
      </w:r>
      <w:r w:rsidRPr="00BF7BE4">
        <w:rPr>
          <w:i/>
        </w:rPr>
        <w:t>Consol. Freightways Corp. v. Consol. Forwarding, Inc.</w:t>
      </w:r>
      <w:r w:rsidRPr="00BF7BE4">
        <w:t xml:space="preserve">, 156 U.S.P.Q. </w:t>
      </w:r>
      <w:r>
        <w:rPr>
          <w:szCs w:val="24"/>
        </w:rPr>
        <w:t xml:space="preserve">(BL) </w:t>
      </w:r>
      <w:r w:rsidRPr="00BF7BE4">
        <w:t xml:space="preserve">99 (N.D. Ill. 1967); </w:t>
      </w:r>
      <w:r w:rsidRPr="00BF7BE4">
        <w:rPr>
          <w:i/>
        </w:rPr>
        <w:t xml:space="preserve">see also </w:t>
      </w:r>
      <w:proofErr w:type="spellStart"/>
      <w:r w:rsidRPr="00BF7BE4">
        <w:rPr>
          <w:i/>
        </w:rPr>
        <w:t>Watec</w:t>
      </w:r>
      <w:proofErr w:type="spellEnd"/>
      <w:r w:rsidRPr="00BF7BE4">
        <w:rPr>
          <w:i/>
        </w:rPr>
        <w:t xml:space="preserve"> Co., Ltd. v. Liu</w:t>
      </w:r>
      <w:r w:rsidRPr="00BF7BE4">
        <w:t>, 403 F.3d 645, 653 (9th Cir. 2005) (approving trial court jury instruction that claimant of senior rights to trademark “must demonstrate that it has sufficient market penetration in a specific locality or localities. Market penetration must consider such factors as the total dollar value of sales, the proportion or percentage of the</w:t>
      </w:r>
      <w:r>
        <w:rPr>
          <w:szCs w:val="24"/>
        </w:rPr>
        <w:t xml:space="preserve"> </w:t>
      </w:r>
      <w:r w:rsidRPr="00BF7BE4">
        <w:rPr>
          <w:szCs w:val="24"/>
        </w:rPr>
        <w:t>[</w:t>
      </w:r>
      <w:r w:rsidRPr="00BF7BE4">
        <w:t>trademark] claimants’ sales of trademarked products in relation to the marketplace in the locality in question. The actual doing of business rather than the mere use of a flyer or advertisement is required [f]or the establishment of common-law rights in any locality</w:t>
      </w:r>
      <w:r>
        <w:rPr>
          <w:szCs w:val="24"/>
        </w:rPr>
        <w:t>.</w:t>
      </w:r>
      <w:r w:rsidRPr="00BF7BE4">
        <w:rPr>
          <w:szCs w:val="24"/>
        </w:rPr>
        <w:t>”).</w:t>
      </w:r>
    </w:p>
    <w:p w14:paraId="28C6C2C1" w14:textId="77777777" w:rsidR="00B94EFC" w:rsidRPr="00BF7BE4" w:rsidRDefault="00B94EFC" w:rsidP="00B94EFC"/>
    <w:p w14:paraId="6C2A347C" w14:textId="77777777" w:rsidR="00B94EFC" w:rsidRPr="00BF7BE4" w:rsidRDefault="00B94EFC" w:rsidP="00B94EFC">
      <w:r w:rsidRPr="00BF7BE4">
        <w:tab/>
        <w:t xml:space="preserve">Even if marks are precisely identical, there may be no infringement if the marks are in </w:t>
      </w:r>
    </w:p>
    <w:p w14:paraId="2A2C791A" w14:textId="482BC270" w:rsidR="00B94EFC" w:rsidRPr="00BF7BE4" w:rsidRDefault="00B94EFC" w:rsidP="00B94EFC">
      <w:r w:rsidRPr="00BF7BE4">
        <w:lastRenderedPageBreak/>
        <w:t>different geographic areas.</w:t>
      </w:r>
      <w:r w:rsidRPr="0009095F">
        <w:rPr>
          <w:i/>
        </w:rPr>
        <w:t xml:space="preserve"> </w:t>
      </w:r>
      <w:r w:rsidRPr="00BF7BE4">
        <w:rPr>
          <w:i/>
        </w:rPr>
        <w:t xml:space="preserve">See Brookfield Commc’ns Inc. v. </w:t>
      </w:r>
      <w:r w:rsidRPr="00BF7BE4">
        <w:rPr>
          <w:i/>
          <w:iCs/>
          <w:szCs w:val="24"/>
        </w:rPr>
        <w:t>W</w:t>
      </w:r>
      <w:r>
        <w:rPr>
          <w:i/>
          <w:iCs/>
          <w:szCs w:val="24"/>
        </w:rPr>
        <w:t>.</w:t>
      </w:r>
      <w:r w:rsidRPr="00BF7BE4">
        <w:rPr>
          <w:i/>
        </w:rPr>
        <w:t xml:space="preserve"> Coast </w:t>
      </w:r>
      <w:r w:rsidRPr="00BF7BE4">
        <w:rPr>
          <w:i/>
          <w:iCs/>
          <w:szCs w:val="24"/>
        </w:rPr>
        <w:t>Ent</w:t>
      </w:r>
      <w:r>
        <w:rPr>
          <w:i/>
          <w:iCs/>
          <w:szCs w:val="24"/>
        </w:rPr>
        <w:t>.</w:t>
      </w:r>
      <w:r w:rsidRPr="00BF7BE4">
        <w:rPr>
          <w:i/>
        </w:rPr>
        <w:t xml:space="preserve"> Corp.</w:t>
      </w:r>
      <w:r w:rsidRPr="00BF7BE4">
        <w:t xml:space="preserve">, 174 F.3d 1036, 1054 (9th Cir. 1999) (acknowledging that some courts permit the use of identical marks if in distinct geographic area). </w:t>
      </w:r>
    </w:p>
    <w:p w14:paraId="17B12DAD" w14:textId="77777777" w:rsidR="00C30C2C" w:rsidRDefault="00C30C2C"/>
    <w:p w14:paraId="3D2BA218" w14:textId="3B93B42F" w:rsidR="00B94EFC" w:rsidRPr="009F7ED2" w:rsidRDefault="00B94EFC" w:rsidP="00B94EFC">
      <w:pPr>
        <w:jc w:val="right"/>
        <w:rPr>
          <w:i/>
          <w:iCs/>
        </w:rPr>
      </w:pPr>
      <w:r>
        <w:rPr>
          <w:i/>
          <w:iCs/>
        </w:rPr>
        <w:t>Revised March 2024</w:t>
      </w:r>
    </w:p>
    <w:sectPr w:rsidR="00B94EFC" w:rsidRPr="009F7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FC"/>
    <w:rsid w:val="00235FFF"/>
    <w:rsid w:val="00695F6A"/>
    <w:rsid w:val="006E771A"/>
    <w:rsid w:val="009F7ED2"/>
    <w:rsid w:val="00B94EFC"/>
    <w:rsid w:val="00BC67C9"/>
    <w:rsid w:val="00C30C2C"/>
    <w:rsid w:val="00DB7C92"/>
    <w:rsid w:val="00E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ECBD"/>
  <w15:chartTrackingRefBased/>
  <w15:docId w15:val="{11829AE9-3EA3-4F8F-9937-3D53D842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EFC"/>
    <w:pPr>
      <w:autoSpaceDE w:val="0"/>
      <w:autoSpaceDN w:val="0"/>
      <w:adjustRightInd w:val="0"/>
    </w:pPr>
    <w:rPr>
      <w:kern w:val="0"/>
      <w:sz w:val="24"/>
      <w14:ligatures w14:val="none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6E771A"/>
    <w:pPr>
      <w:keepNext/>
      <w:keepLines/>
      <w:autoSpaceDE/>
      <w:autoSpaceDN/>
      <w:adjustRightInd/>
      <w:spacing w:before="240" w:line="259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E771A"/>
    <w:rPr>
      <w:rFonts w:eastAsiaTheme="majorEastAsia" w:cstheme="majorBidi"/>
      <w:b/>
      <w:color w:val="000000" w:themeColor="text1"/>
      <w:sz w:val="28"/>
      <w:szCs w:val="32"/>
    </w:rPr>
  </w:style>
  <w:style w:type="paragraph" w:styleId="Revision">
    <w:name w:val="Revision"/>
    <w:hidden/>
    <w:uiPriority w:val="99"/>
    <w:semiHidden/>
    <w:rsid w:val="00B94EFC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Samriddhi Rana</dc:creator>
  <cp:keywords/>
  <dc:description/>
  <cp:lastModifiedBy>Samriddhi Rana</cp:lastModifiedBy>
  <cp:revision>2</cp:revision>
  <dcterms:created xsi:type="dcterms:W3CDTF">2024-05-21T04:38:00Z</dcterms:created>
  <dcterms:modified xsi:type="dcterms:W3CDTF">2024-05-21T05:23:00Z</dcterms:modified>
</cp:coreProperties>
</file>