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7886" w14:textId="77777777" w:rsidR="00921DBA" w:rsidRPr="00921DBA" w:rsidRDefault="00921DBA" w:rsidP="00921DBA">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21"/>
      <w:r w:rsidRPr="00921DBA">
        <w:rPr>
          <w:rFonts w:ascii="Times New Roman" w:eastAsia="Calibri" w:hAnsi="Times New Roman" w:cs="Times New Roman"/>
          <w:b/>
          <w:bCs/>
          <w:kern w:val="0"/>
          <w14:ligatures w14:val="none"/>
        </w:rPr>
        <w:t>15.25 Defenses—Nominative Fair Use</w:t>
      </w:r>
      <w:bookmarkEnd w:id="0"/>
    </w:p>
    <w:p w14:paraId="6C0494E7"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06D1553D"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ab/>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Pr="00921DBA">
        <w:rPr>
          <w:rFonts w:ascii="Times New Roman" w:eastAsia="Times New Roman" w:hAnsi="Times New Roman" w:cs="Times New Roman"/>
          <w:kern w:val="0"/>
          <w14:ligatures w14:val="none"/>
        </w:rPr>
        <w:t>product, even if the defendant’s ultimate goal was to describe its own product</w:t>
      </w:r>
      <w:r w:rsidRPr="00921DBA">
        <w:rPr>
          <w:rFonts w:ascii="Times New Roman" w:eastAsia="Calibri" w:hAnsi="Times New Roman" w:cs="Times New Roman"/>
          <w:kern w:val="0"/>
          <w14:ligatures w14:val="none"/>
        </w:rPr>
        <w:t xml:space="preserve">. </w:t>
      </w:r>
    </w:p>
    <w:p w14:paraId="27BFA741"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7E8034E3"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ab/>
        <w:t>The defendant [</w:t>
      </w:r>
      <w:r w:rsidRPr="00921DBA">
        <w:rPr>
          <w:rFonts w:ascii="Times New Roman" w:eastAsia="Calibri" w:hAnsi="Times New Roman" w:cs="Times New Roman"/>
          <w:i/>
          <w:iCs/>
          <w:kern w:val="0"/>
          <w:u w:val="single"/>
          <w14:ligatures w14:val="none"/>
        </w:rPr>
        <w:t>name</w:t>
      </w:r>
      <w:r w:rsidRPr="00921DBA">
        <w:rPr>
          <w:rFonts w:ascii="Times New Roman" w:eastAsia="Calibri" w:hAnsi="Times New Roman" w:cs="Times New Roman"/>
          <w:kern w:val="0"/>
          <w14:ligatures w14:val="none"/>
        </w:rPr>
        <w:t>] contends that it did not infringe the trademark because the alleged infringement was a nominative fair use of the trademark to [describe] [name] [identify] the plaintiff [</w:t>
      </w:r>
      <w:r w:rsidRPr="00921DBA">
        <w:rPr>
          <w:rFonts w:ascii="Times New Roman" w:eastAsia="Calibri" w:hAnsi="Times New Roman" w:cs="Times New Roman"/>
          <w:i/>
          <w:iCs/>
          <w:kern w:val="0"/>
          <w:u w:val="single"/>
          <w14:ligatures w14:val="none"/>
        </w:rPr>
        <w:t>name</w:t>
      </w:r>
      <w:r w:rsidRPr="00921DBA">
        <w:rPr>
          <w:rFonts w:ascii="Times New Roman" w:eastAsia="Calibri" w:hAnsi="Times New Roman" w:cs="Times New Roman"/>
          <w:kern w:val="0"/>
          <w14:ligatures w14:val="none"/>
        </w:rPr>
        <w:t>]’s product</w:t>
      </w:r>
      <w:r w:rsidRPr="00921DBA">
        <w:rPr>
          <w:rFonts w:ascii="Times New Roman" w:eastAsia="Times New Roman" w:hAnsi="Times New Roman" w:cs="Times New Roman"/>
          <w:kern w:val="0"/>
          <w14:ligatures w14:val="none"/>
        </w:rPr>
        <w:t>.</w:t>
      </w:r>
      <w:r w:rsidRPr="00921DBA">
        <w:rPr>
          <w:rFonts w:ascii="Times New Roman" w:eastAsia="Calibri" w:hAnsi="Times New Roman" w:cs="Times New Roman"/>
          <w:kern w:val="0"/>
          <w14:ligatures w14:val="none"/>
        </w:rPr>
        <w:t xml:space="preserve"> The </w:t>
      </w:r>
      <w:r w:rsidRPr="00921DBA">
        <w:rPr>
          <w:rFonts w:ascii="Times New Roman" w:eastAsia="Times New Roman" w:hAnsi="Times New Roman" w:cs="Times New Roman"/>
          <w:kern w:val="0"/>
          <w14:ligatures w14:val="none"/>
        </w:rPr>
        <w:t>plaintiff</w:t>
      </w:r>
      <w:r w:rsidRPr="00921DBA">
        <w:rPr>
          <w:rFonts w:ascii="Times New Roman" w:eastAsia="Calibri" w:hAnsi="Times New Roman" w:cs="Times New Roman"/>
          <w:kern w:val="0"/>
          <w14:ligatures w14:val="none"/>
        </w:rPr>
        <w:t xml:space="preserve"> [</w:t>
      </w:r>
      <w:r w:rsidRPr="00921DBA">
        <w:rPr>
          <w:rFonts w:ascii="Times New Roman" w:eastAsia="Calibri" w:hAnsi="Times New Roman" w:cs="Times New Roman"/>
          <w:i/>
          <w:iCs/>
          <w:kern w:val="0"/>
          <w:u w:val="single"/>
          <w14:ligatures w14:val="none"/>
        </w:rPr>
        <w:t>name</w:t>
      </w:r>
      <w:r w:rsidRPr="00921DBA">
        <w:rPr>
          <w:rFonts w:ascii="Times New Roman" w:eastAsia="Calibri" w:hAnsi="Times New Roman" w:cs="Times New Roman"/>
          <w:kern w:val="0"/>
          <w14:ligatures w14:val="none"/>
        </w:rPr>
        <w:t>] has the burden of proving</w:t>
      </w:r>
      <w:r w:rsidRPr="00921DBA">
        <w:rPr>
          <w:rFonts w:ascii="Times New Roman" w:eastAsia="Times New Roman" w:hAnsi="Times New Roman" w:cs="Times New Roman"/>
          <w:kern w:val="0"/>
          <w14:ligatures w14:val="none"/>
        </w:rPr>
        <w:t xml:space="preserve">, </w:t>
      </w:r>
      <w:r w:rsidRPr="00921DBA">
        <w:rPr>
          <w:rFonts w:ascii="Times New Roman" w:eastAsia="Calibri" w:hAnsi="Times New Roman" w:cs="Times New Roman"/>
          <w:kern w:val="0"/>
          <w14:ligatures w14:val="none"/>
        </w:rPr>
        <w:t>by a preponderance of the evidence</w:t>
      </w:r>
      <w:r w:rsidRPr="00921DBA">
        <w:rPr>
          <w:rFonts w:ascii="Times New Roman" w:eastAsia="Times New Roman" w:hAnsi="Times New Roman" w:cs="Times New Roman"/>
          <w:kern w:val="0"/>
          <w14:ligatures w14:val="none"/>
        </w:rPr>
        <w:t xml:space="preserve">, that the defendant </w:t>
      </w:r>
      <w:r w:rsidRPr="00921DBA">
        <w:rPr>
          <w:rFonts w:ascii="Times New Roman" w:eastAsia="Calibri" w:hAnsi="Times New Roman" w:cs="Times New Roman"/>
          <w:kern w:val="0"/>
          <w14:ligatures w14:val="none"/>
        </w:rPr>
        <w:t>[</w:t>
      </w:r>
      <w:r w:rsidRPr="00921DBA">
        <w:rPr>
          <w:rFonts w:ascii="Times New Roman" w:eastAsia="Calibri" w:hAnsi="Times New Roman" w:cs="Times New Roman"/>
          <w:i/>
          <w:iCs/>
          <w:kern w:val="0"/>
          <w:u w:val="single"/>
          <w14:ligatures w14:val="none"/>
        </w:rPr>
        <w:t>name</w:t>
      </w:r>
      <w:r w:rsidRPr="00921DBA">
        <w:rPr>
          <w:rFonts w:ascii="Times New Roman" w:eastAsia="Calibri" w:hAnsi="Times New Roman" w:cs="Times New Roman"/>
          <w:kern w:val="0"/>
          <w14:ligatures w14:val="none"/>
        </w:rPr>
        <w:t>]</w:t>
      </w:r>
      <w:r w:rsidRPr="00921DBA">
        <w:rPr>
          <w:rFonts w:ascii="Times New Roman" w:eastAsia="Times New Roman" w:hAnsi="Times New Roman" w:cs="Times New Roman"/>
          <w:kern w:val="0"/>
          <w14:ligatures w14:val="none"/>
        </w:rPr>
        <w:t>’s use of the mark does not meet the requirements of nominative fair use</w:t>
      </w:r>
      <w:r w:rsidRPr="00921DBA">
        <w:rPr>
          <w:rFonts w:ascii="Times New Roman" w:eastAsia="Calibri" w:hAnsi="Times New Roman" w:cs="Times New Roman"/>
          <w:kern w:val="0"/>
          <w14:ligatures w14:val="none"/>
        </w:rPr>
        <w:t xml:space="preserve">. </w:t>
      </w:r>
    </w:p>
    <w:p w14:paraId="1779E539"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3A5B7FD1"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ab/>
        <w:t>A defendant makes nominative fair use of a trademark when</w:t>
      </w:r>
      <w:r w:rsidRPr="00921DBA">
        <w:rPr>
          <w:rFonts w:ascii="Times New Roman" w:eastAsia="Times New Roman" w:hAnsi="Times New Roman" w:cs="Times New Roman"/>
          <w:kern w:val="0"/>
          <w14:ligatures w14:val="none"/>
        </w:rPr>
        <w:t>:</w:t>
      </w:r>
      <w:r w:rsidRPr="00921DBA">
        <w:rPr>
          <w:rFonts w:ascii="Times New Roman" w:eastAsia="Calibri" w:hAnsi="Times New Roman" w:cs="Times New Roman"/>
          <w:kern w:val="0"/>
          <w14:ligatures w14:val="none"/>
        </w:rPr>
        <w:t xml:space="preserve"> </w:t>
      </w:r>
    </w:p>
    <w:p w14:paraId="63435309"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28D55F81" w14:textId="77777777" w:rsidR="00921DBA" w:rsidRPr="00921DBA" w:rsidRDefault="00921DBA" w:rsidP="00921DBA">
      <w:pPr>
        <w:spacing w:after="0" w:line="240" w:lineRule="auto"/>
        <w:ind w:firstLine="720"/>
        <w:rPr>
          <w:rFonts w:ascii="Times New Roman" w:eastAsia="Calibri" w:hAnsi="Times New Roman" w:cs="Times New Roman"/>
          <w:kern w:val="0"/>
          <w14:ligatures w14:val="none"/>
        </w:rPr>
      </w:pPr>
      <w:r w:rsidRPr="00921DBA">
        <w:rPr>
          <w:rFonts w:ascii="Times New Roman" w:eastAsia="Times New Roman" w:hAnsi="Times New Roman" w:cs="Times New Roman"/>
          <w:kern w:val="0"/>
          <w14:ligatures w14:val="none"/>
        </w:rPr>
        <w:t xml:space="preserve">First, the </w:t>
      </w:r>
      <w:r w:rsidRPr="00921DBA">
        <w:rPr>
          <w:rFonts w:ascii="Times New Roman" w:eastAsia="Calibri" w:hAnsi="Times New Roman" w:cs="Times New Roman"/>
          <w:kern w:val="0"/>
          <w14:ligatures w14:val="none"/>
        </w:rPr>
        <w:t>product</w:t>
      </w:r>
      <w:r w:rsidRPr="00921DBA">
        <w:rPr>
          <w:rFonts w:ascii="Times New Roman" w:eastAsia="Times New Roman" w:hAnsi="Times New Roman" w:cs="Times New Roman"/>
          <w:kern w:val="0"/>
          <w14:ligatures w14:val="none"/>
        </w:rPr>
        <w:t xml:space="preserve"> in question</w:t>
      </w:r>
      <w:r w:rsidRPr="00921DBA">
        <w:rPr>
          <w:rFonts w:ascii="Times New Roman" w:eastAsia="Calibri" w:hAnsi="Times New Roman" w:cs="Times New Roman"/>
          <w:kern w:val="0"/>
          <w14:ligatures w14:val="none"/>
        </w:rPr>
        <w:t xml:space="preserve"> was not readily identifiable without use of </w:t>
      </w:r>
      <w:r w:rsidRPr="00921DBA">
        <w:rPr>
          <w:rFonts w:ascii="Times New Roman" w:eastAsia="Times New Roman" w:hAnsi="Times New Roman" w:cs="Times New Roman"/>
          <w:kern w:val="0"/>
          <w14:ligatures w14:val="none"/>
        </w:rPr>
        <w:t xml:space="preserve">the </w:t>
      </w:r>
      <w:proofErr w:type="gramStart"/>
      <w:r w:rsidRPr="00921DBA">
        <w:rPr>
          <w:rFonts w:ascii="Times New Roman" w:eastAsia="Calibri" w:hAnsi="Times New Roman" w:cs="Times New Roman"/>
          <w:kern w:val="0"/>
          <w14:ligatures w14:val="none"/>
        </w:rPr>
        <w:t>trademark</w:t>
      </w:r>
      <w:r w:rsidRPr="00921DBA">
        <w:rPr>
          <w:rFonts w:ascii="Times New Roman" w:eastAsia="Times New Roman" w:hAnsi="Times New Roman" w:cs="Times New Roman"/>
          <w:kern w:val="0"/>
          <w14:ligatures w14:val="none"/>
        </w:rPr>
        <w:t>;</w:t>
      </w:r>
      <w:proofErr w:type="gramEnd"/>
    </w:p>
    <w:p w14:paraId="1CBDAC89" w14:textId="77777777" w:rsidR="00921DBA" w:rsidRPr="00921DBA" w:rsidRDefault="00921DBA" w:rsidP="00921DBA">
      <w:pPr>
        <w:spacing w:after="0" w:line="240" w:lineRule="auto"/>
        <w:ind w:firstLine="720"/>
        <w:rPr>
          <w:rFonts w:ascii="Times New Roman" w:eastAsia="Calibri" w:hAnsi="Times New Roman" w:cs="Times New Roman"/>
          <w:kern w:val="0"/>
          <w14:ligatures w14:val="none"/>
        </w:rPr>
      </w:pPr>
    </w:p>
    <w:p w14:paraId="3390C0FD" w14:textId="6BBB7EC9" w:rsidR="00921DBA" w:rsidRPr="00921DBA" w:rsidRDefault="00921DBA" w:rsidP="00921DBA">
      <w:pPr>
        <w:spacing w:after="0" w:line="240" w:lineRule="auto"/>
        <w:ind w:firstLine="720"/>
        <w:rPr>
          <w:rFonts w:ascii="Times New Roman" w:eastAsia="Calibri" w:hAnsi="Times New Roman" w:cs="Times New Roman"/>
          <w:kern w:val="0"/>
          <w14:ligatures w14:val="none"/>
        </w:rPr>
      </w:pPr>
      <w:r w:rsidRPr="00921DBA">
        <w:rPr>
          <w:rFonts w:ascii="Times New Roman" w:eastAsia="Times New Roman" w:hAnsi="Times New Roman" w:cs="Times New Roman"/>
          <w:kern w:val="0"/>
          <w14:ligatures w14:val="none"/>
        </w:rPr>
        <w:t>Second, the defendant used only</w:t>
      </w:r>
      <w:r w:rsidRPr="00921DBA">
        <w:rPr>
          <w:rFonts w:ascii="Times New Roman" w:eastAsia="Calibri" w:hAnsi="Times New Roman" w:cs="Times New Roman"/>
          <w:kern w:val="0"/>
          <w14:ligatures w14:val="none"/>
        </w:rPr>
        <w:t xml:space="preserve"> so much of the trademark as was reasonably necessary to identify the product in question; and </w:t>
      </w:r>
    </w:p>
    <w:p w14:paraId="53486CBF" w14:textId="77777777" w:rsidR="00921DBA" w:rsidRPr="00921DBA" w:rsidRDefault="00921DBA" w:rsidP="00921DBA">
      <w:pPr>
        <w:spacing w:after="0" w:line="240" w:lineRule="auto"/>
        <w:ind w:firstLine="720"/>
        <w:rPr>
          <w:rFonts w:ascii="Times New Roman" w:eastAsia="Calibri" w:hAnsi="Times New Roman" w:cs="Times New Roman"/>
          <w:kern w:val="0"/>
          <w14:ligatures w14:val="none"/>
        </w:rPr>
      </w:pPr>
    </w:p>
    <w:p w14:paraId="1C80B621" w14:textId="77777777" w:rsidR="00921DBA" w:rsidRPr="00921DBA" w:rsidRDefault="00921DBA" w:rsidP="00921DBA">
      <w:pPr>
        <w:spacing w:after="0" w:line="240" w:lineRule="auto"/>
        <w:ind w:firstLine="720"/>
        <w:rPr>
          <w:rFonts w:ascii="Times New Roman" w:eastAsia="Times New Roman" w:hAnsi="Times New Roman" w:cs="Times New Roman"/>
          <w:kern w:val="0"/>
          <w14:ligatures w14:val="none"/>
        </w:rPr>
      </w:pPr>
      <w:r w:rsidRPr="00921DBA">
        <w:rPr>
          <w:rFonts w:ascii="Times New Roman" w:eastAsia="Times New Roman" w:hAnsi="Times New Roman" w:cs="Times New Roman"/>
          <w:kern w:val="0"/>
          <w14:ligatures w14:val="none"/>
        </w:rPr>
        <w:t>Third, the defendant did</w:t>
      </w:r>
      <w:r w:rsidRPr="00921DBA">
        <w:rPr>
          <w:rFonts w:ascii="Times New Roman" w:eastAsia="Calibri" w:hAnsi="Times New Roman" w:cs="Times New Roman"/>
          <w:kern w:val="0"/>
          <w14:ligatures w14:val="none"/>
        </w:rPr>
        <w:t xml:space="preserve"> not do anything in connection with the trademark that would suggest sponsorship or endorsement by the plaintiff. </w:t>
      </w:r>
    </w:p>
    <w:p w14:paraId="10D7C232" w14:textId="77777777" w:rsidR="00921DBA" w:rsidRPr="00921DBA" w:rsidRDefault="00921DBA" w:rsidP="00921DBA">
      <w:pPr>
        <w:spacing w:after="0" w:line="240" w:lineRule="auto"/>
        <w:rPr>
          <w:rFonts w:ascii="Times New Roman" w:eastAsia="Times New Roman" w:hAnsi="Times New Roman" w:cs="Times New Roman"/>
          <w:kern w:val="0"/>
          <w14:ligatures w14:val="none"/>
        </w:rPr>
      </w:pPr>
    </w:p>
    <w:p w14:paraId="4041A01A"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Times New Roman" w:hAnsi="Times New Roman" w:cs="Times New Roman"/>
          <w:kern w:val="0"/>
          <w14:ligatures w14:val="none"/>
        </w:rPr>
        <w:tab/>
      </w:r>
      <w:r w:rsidRPr="00921DBA">
        <w:rPr>
          <w:rFonts w:ascii="Times New Roman" w:eastAsia="Calibri" w:hAnsi="Times New Roman" w:cs="Times New Roman"/>
          <w:kern w:val="0"/>
          <w14:ligatures w14:val="none"/>
        </w:rPr>
        <w:t>[A product is not readily identified without use of its trademark when there would be no other effective way to compare, criticize, refer to</w:t>
      </w:r>
      <w:r w:rsidRPr="00921DBA">
        <w:rPr>
          <w:rFonts w:ascii="Times New Roman" w:eastAsia="Times New Roman" w:hAnsi="Times New Roman" w:cs="Times New Roman"/>
          <w:kern w:val="0"/>
          <w14:ligatures w14:val="none"/>
        </w:rPr>
        <w:t>,</w:t>
      </w:r>
      <w:r w:rsidRPr="00921DBA">
        <w:rPr>
          <w:rFonts w:ascii="Times New Roman" w:eastAsia="Calibri" w:hAnsi="Times New Roman" w:cs="Times New Roman"/>
          <w:kern w:val="0"/>
          <w14:ligatures w14:val="none"/>
        </w:rPr>
        <w:t xml:space="preserve"> or identify it without using the trademark.] </w:t>
      </w:r>
    </w:p>
    <w:p w14:paraId="30A7D82B"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321CB17A"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11D17695"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2BBEDCC4"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Times New Roman" w:hAnsi="Times New Roman" w:cs="Times New Roman"/>
          <w:kern w:val="0"/>
          <w14:ligatures w14:val="none"/>
        </w:rPr>
        <w:tab/>
        <w:t>[</w:t>
      </w:r>
      <w:r w:rsidRPr="00921DBA">
        <w:rPr>
          <w:rFonts w:ascii="Times New Roman" w:eastAsia="Calibri" w:hAnsi="Times New Roman" w:cs="Times New Roman"/>
          <w:kern w:val="0"/>
          <w14:ligatures w14:val="none"/>
        </w:rPr>
        <w:t xml:space="preserve">A use of the plaintiff’s trademark does not suggest sponsorship or endorsement of the defendant’s product when the defendant does not attempt to deceive, mislead, or capitalize on consumer confusion, or when the defendant </w:t>
      </w:r>
      <w:r w:rsidRPr="00921DBA">
        <w:rPr>
          <w:rFonts w:ascii="Times New Roman" w:eastAsia="Times New Roman" w:hAnsi="Times New Roman" w:cs="Times New Roman"/>
          <w:kern w:val="0"/>
          <w14:ligatures w14:val="none"/>
        </w:rPr>
        <w:t>does not appropriate</w:t>
      </w:r>
      <w:r w:rsidRPr="00921DBA">
        <w:rPr>
          <w:rFonts w:ascii="Times New Roman" w:eastAsia="Calibri" w:hAnsi="Times New Roman" w:cs="Times New Roman"/>
          <w:kern w:val="0"/>
          <w14:ligatures w14:val="none"/>
        </w:rPr>
        <w:t xml:space="preserve"> the cachet of the plaintiff’s product for the </w:t>
      </w:r>
      <w:proofErr w:type="gramStart"/>
      <w:r w:rsidRPr="00921DBA">
        <w:rPr>
          <w:rFonts w:ascii="Times New Roman" w:eastAsia="Calibri" w:hAnsi="Times New Roman" w:cs="Times New Roman"/>
          <w:kern w:val="0"/>
          <w14:ligatures w14:val="none"/>
        </w:rPr>
        <w:t>defendant’s</w:t>
      </w:r>
      <w:proofErr w:type="gramEnd"/>
      <w:r w:rsidRPr="00921DBA">
        <w:rPr>
          <w:rFonts w:ascii="Times New Roman" w:eastAsia="Calibri" w:hAnsi="Times New Roman" w:cs="Times New Roman"/>
          <w:kern w:val="0"/>
          <w14:ligatures w14:val="none"/>
        </w:rPr>
        <w:t xml:space="preserve">.] </w:t>
      </w:r>
    </w:p>
    <w:p w14:paraId="54280C3D"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1F6A737A"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ab/>
        <w:t>[The fact that the defendant’s use of the trademark may bring the defendant a profit or</w:t>
      </w:r>
    </w:p>
    <w:p w14:paraId="51DCD7B3"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 xml:space="preserve">help in competing with the mark owner does not mean the use was not a fair use.] </w:t>
      </w:r>
    </w:p>
    <w:p w14:paraId="204BD9B4"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18EB828B" w14:textId="77777777" w:rsidR="00921DBA" w:rsidRPr="00921DBA" w:rsidRDefault="00921DBA" w:rsidP="00921DBA">
      <w:pPr>
        <w:spacing w:after="0" w:line="240" w:lineRule="auto"/>
        <w:jc w:val="center"/>
        <w:rPr>
          <w:rFonts w:ascii="Times New Roman" w:eastAsia="Calibri" w:hAnsi="Times New Roman" w:cs="Times New Roman"/>
          <w:b/>
          <w:kern w:val="0"/>
          <w14:ligatures w14:val="none"/>
        </w:rPr>
      </w:pPr>
      <w:r w:rsidRPr="00921DBA">
        <w:rPr>
          <w:rFonts w:ascii="Times New Roman" w:eastAsia="Calibri" w:hAnsi="Times New Roman" w:cs="Times New Roman"/>
          <w:b/>
          <w:kern w:val="0"/>
          <w14:ligatures w14:val="none"/>
        </w:rPr>
        <w:t>Comment</w:t>
      </w:r>
    </w:p>
    <w:p w14:paraId="1DFBD229"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60BA2331"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ab/>
        <w:t>The Ninth Circuit identifies two types of fair use: classic and nominative.</w:t>
      </w:r>
      <w:r w:rsidRPr="00921DBA">
        <w:rPr>
          <w:rFonts w:ascii="Times New Roman" w:eastAsia="Calibri" w:hAnsi="Times New Roman" w:cs="Times New Roman"/>
          <w:i/>
          <w:kern w:val="0"/>
          <w14:ligatures w14:val="none"/>
        </w:rPr>
        <w:t xml:space="preserve"> Cairns v. Franklin Mint Co</w:t>
      </w:r>
      <w:r w:rsidRPr="00921DBA">
        <w:rPr>
          <w:rFonts w:ascii="Times New Roman" w:eastAsia="Calibri" w:hAnsi="Times New Roman" w:cs="Times New Roman"/>
          <w:kern w:val="0"/>
          <w14:ligatures w14:val="none"/>
        </w:rPr>
        <w:t xml:space="preserve">., 292 F.3d 1139, 1150 (9th Cir. 2002) (“We distinguish two types of fair use: ‘classic fair use,’ in which ‘the defendant has used the plaintiff’s mark to describe the defendant’s </w:t>
      </w:r>
      <w:r w:rsidRPr="00921DBA">
        <w:rPr>
          <w:rFonts w:ascii="Times New Roman" w:eastAsia="Calibri" w:hAnsi="Times New Roman" w:cs="Times New Roman"/>
          <w:i/>
          <w:kern w:val="0"/>
          <w14:ligatures w14:val="none"/>
        </w:rPr>
        <w:t>own</w:t>
      </w:r>
      <w:r w:rsidRPr="00921DBA">
        <w:rPr>
          <w:rFonts w:ascii="Times New Roman" w:eastAsia="Calibri" w:hAnsi="Times New Roman" w:cs="Times New Roman"/>
          <w:kern w:val="0"/>
          <w14:ligatures w14:val="none"/>
        </w:rPr>
        <w:t xml:space="preserve"> product,’ and ‘nominative fair use,’ in which the defendant has used the </w:t>
      </w:r>
      <w:r w:rsidRPr="00921DBA">
        <w:rPr>
          <w:rFonts w:ascii="Times New Roman" w:eastAsia="Calibri" w:hAnsi="Times New Roman" w:cs="Times New Roman"/>
          <w:kern w:val="0"/>
          <w14:ligatures w14:val="none"/>
        </w:rPr>
        <w:lastRenderedPageBreak/>
        <w:t xml:space="preserve">plaintiff’s mark ‘to describe the </w:t>
      </w:r>
      <w:r w:rsidRPr="00921DBA">
        <w:rPr>
          <w:rFonts w:ascii="Times New Roman" w:eastAsia="Calibri" w:hAnsi="Times New Roman" w:cs="Times New Roman"/>
          <w:i/>
          <w:kern w:val="0"/>
          <w14:ligatures w14:val="none"/>
        </w:rPr>
        <w:t>plaintiff’s</w:t>
      </w:r>
      <w:r w:rsidRPr="00921DBA">
        <w:rPr>
          <w:rFonts w:ascii="Times New Roman" w:eastAsia="Calibri" w:hAnsi="Times New Roman" w:cs="Times New Roman"/>
          <w:kern w:val="0"/>
          <w14:ligatures w14:val="none"/>
        </w:rPr>
        <w:t xml:space="preserve"> product’ for the purpose of, for example, comparison to the defendant’s product</w:t>
      </w:r>
      <w:r w:rsidRPr="00921DBA">
        <w:rPr>
          <w:rFonts w:ascii="Times New Roman" w:eastAsia="Times New Roman" w:hAnsi="Times New Roman" w:cs="Times New Roman"/>
          <w:kern w:val="0"/>
          <w14:ligatures w14:val="none"/>
        </w:rPr>
        <w:t>.”).</w:t>
      </w:r>
      <w:r w:rsidRPr="00921DBA">
        <w:rPr>
          <w:rFonts w:ascii="Times New Roman" w:eastAsia="Calibri" w:hAnsi="Times New Roman" w:cs="Times New Roman"/>
          <w:kern w:val="0"/>
          <w14:ligatures w14:val="none"/>
        </w:rPr>
        <w:t xml:space="preserve"> </w:t>
      </w:r>
      <w:r w:rsidRPr="00921DBA">
        <w:rPr>
          <w:rFonts w:ascii="Times New Roman" w:eastAsia="Calibri" w:hAnsi="Times New Roman" w:cs="Times New Roman"/>
          <w:i/>
          <w:kern w:val="0"/>
          <w14:ligatures w14:val="none"/>
        </w:rPr>
        <w:t>See</w:t>
      </w:r>
      <w:r w:rsidRPr="00921DBA">
        <w:rPr>
          <w:rFonts w:ascii="Times New Roman" w:eastAsia="Calibri" w:hAnsi="Times New Roman" w:cs="Times New Roman"/>
          <w:kern w:val="0"/>
          <w14:ligatures w14:val="none"/>
        </w:rPr>
        <w:t xml:space="preserve"> Instruction 15.24 (Defenses—“Classic” Fair Use). </w:t>
      </w:r>
    </w:p>
    <w:p w14:paraId="5FE506C2"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70413942" w14:textId="77777777" w:rsidR="00921DBA" w:rsidRPr="00921DBA" w:rsidRDefault="00921DBA" w:rsidP="00921DBA">
      <w:pPr>
        <w:spacing w:after="0" w:line="240" w:lineRule="auto"/>
        <w:ind w:firstLine="720"/>
        <w:rPr>
          <w:rFonts w:ascii="Times New Roman" w:eastAsia="Times New Roman" w:hAnsi="Times New Roman" w:cs="Times New Roman"/>
          <w:kern w:val="0"/>
          <w14:ligatures w14:val="none"/>
        </w:rPr>
      </w:pPr>
      <w:r w:rsidRPr="00921DBA">
        <w:rPr>
          <w:rFonts w:ascii="Times New Roman" w:eastAsia="Times New Roman" w:hAnsi="Times New Roman" w:cs="Times New Roman"/>
          <w:kern w:val="0"/>
          <w14:ligatures w14:val="none"/>
        </w:rPr>
        <w:t xml:space="preserve">The nominative fair use test is “designed to address the risk that nominative use of the mark will inspire a mistaken belief on the part of consumers that the speaker is sponsored or endorsed by the trademark holder.” </w:t>
      </w:r>
      <w:r w:rsidRPr="00921DBA">
        <w:rPr>
          <w:rFonts w:ascii="Times New Roman" w:eastAsia="Times New Roman" w:hAnsi="Times New Roman" w:cs="Times New Roman"/>
          <w:i/>
          <w:iCs/>
          <w:kern w:val="0"/>
          <w14:ligatures w14:val="none"/>
        </w:rPr>
        <w:t>Toyota Motor Sales, U.S.A.,</w:t>
      </w:r>
      <w:r w:rsidRPr="00921DBA">
        <w:rPr>
          <w:rFonts w:ascii="Times New Roman" w:eastAsia="Calibri" w:hAnsi="Times New Roman" w:cs="Times New Roman"/>
          <w:i/>
          <w:kern w:val="0"/>
          <w14:ligatures w14:val="none"/>
        </w:rPr>
        <w:t xml:space="preserve"> Inc. </w:t>
      </w:r>
      <w:r w:rsidRPr="00921DBA">
        <w:rPr>
          <w:rFonts w:ascii="Times New Roman" w:eastAsia="Times New Roman" w:hAnsi="Times New Roman" w:cs="Times New Roman"/>
          <w:i/>
          <w:iCs/>
          <w:kern w:val="0"/>
          <w14:ligatures w14:val="none"/>
        </w:rPr>
        <w:t>v. Tabari</w:t>
      </w:r>
      <w:r w:rsidRPr="00921DBA">
        <w:rPr>
          <w:rFonts w:ascii="Times New Roman" w:eastAsia="Times New Roman" w:hAnsi="Times New Roman" w:cs="Times New Roman"/>
          <w:kern w:val="0"/>
          <w14:ligatures w14:val="none"/>
        </w:rPr>
        <w:t xml:space="preserve">, 610 F.3d 1171, 1176 (9th Cir. </w:t>
      </w:r>
      <w:r w:rsidRPr="00921DBA">
        <w:rPr>
          <w:rFonts w:ascii="Times New Roman" w:eastAsia="Calibri" w:hAnsi="Times New Roman" w:cs="Times New Roman"/>
          <w:kern w:val="0"/>
          <w14:ligatures w14:val="none"/>
        </w:rPr>
        <w:t xml:space="preserve">2010). </w:t>
      </w:r>
      <w:r w:rsidRPr="00921DBA">
        <w:rPr>
          <w:rFonts w:ascii="Times New Roman" w:eastAsia="Times New Roman" w:hAnsi="Times New Roman" w:cs="Times New Roman"/>
          <w:kern w:val="0"/>
          <w14:ligatures w14:val="none"/>
        </w:rPr>
        <w:t xml:space="preserve">The elements of the nominative fair use defense set out in this instruction are described in </w:t>
      </w:r>
      <w:r w:rsidRPr="00921DBA">
        <w:rPr>
          <w:rFonts w:ascii="Times New Roman" w:eastAsia="Times New Roman" w:hAnsi="Times New Roman" w:cs="Times New Roman"/>
          <w:i/>
          <w:iCs/>
          <w:kern w:val="0"/>
          <w14:ligatures w14:val="none"/>
        </w:rPr>
        <w:t>Adobe Sys.</w:t>
      </w:r>
      <w:r w:rsidRPr="00921DBA">
        <w:rPr>
          <w:rFonts w:ascii="Times New Roman" w:eastAsia="Calibri" w:hAnsi="Times New Roman" w:cs="Times New Roman"/>
          <w:i/>
          <w:kern w:val="0"/>
          <w14:ligatures w14:val="none"/>
        </w:rPr>
        <w:t xml:space="preserve"> Inc. v. Christenson</w:t>
      </w:r>
      <w:r w:rsidRPr="00921DBA">
        <w:rPr>
          <w:rFonts w:ascii="Times New Roman" w:eastAsia="Calibri" w:hAnsi="Times New Roman" w:cs="Times New Roman"/>
          <w:kern w:val="0"/>
          <w14:ligatures w14:val="none"/>
        </w:rPr>
        <w:t>, 809 F.3d 1071, 1081 (9th Cir. 2015).</w:t>
      </w:r>
      <w:r w:rsidRPr="00921DBA">
        <w:rPr>
          <w:rFonts w:ascii="Times New Roman" w:eastAsia="Times New Roman" w:hAnsi="Times New Roman" w:cs="Times New Roman"/>
          <w:kern w:val="0"/>
          <w14:ligatures w14:val="none"/>
        </w:rPr>
        <w:t xml:space="preserve"> If the nominative use elements are met, the nominative use does not infringe. </w:t>
      </w:r>
      <w:r w:rsidRPr="00921DBA">
        <w:rPr>
          <w:rFonts w:ascii="Times New Roman" w:eastAsia="Times New Roman" w:hAnsi="Times New Roman" w:cs="Times New Roman"/>
          <w:i/>
          <w:iCs/>
          <w:kern w:val="0"/>
          <w14:ligatures w14:val="none"/>
        </w:rPr>
        <w:t>Toyota Motor Sales</w:t>
      </w:r>
      <w:r w:rsidRPr="00921DBA">
        <w:rPr>
          <w:rFonts w:ascii="Times New Roman" w:eastAsia="Times New Roman" w:hAnsi="Times New Roman" w:cs="Times New Roman"/>
          <w:kern w:val="0"/>
          <w14:ligatures w14:val="none"/>
        </w:rPr>
        <w:t>, 610 F.3d 1176. If the nominative use does not satisfy all the elements, “the district court may order defendants to modify their use of the mark so that all three factors are satisfied; it may not enjoin nominative use of the mark altogether.”</w:t>
      </w:r>
      <w:r w:rsidRPr="00921DBA">
        <w:rPr>
          <w:rFonts w:ascii="Times New Roman" w:eastAsia="Calibri" w:hAnsi="Times New Roman" w:cs="Times New Roman"/>
          <w:kern w:val="0"/>
          <w14:ligatures w14:val="none"/>
        </w:rPr>
        <w:t xml:space="preserve"> </w:t>
      </w:r>
      <w:r w:rsidRPr="00921DBA">
        <w:rPr>
          <w:rFonts w:ascii="Times New Roman" w:eastAsia="Calibri" w:hAnsi="Times New Roman" w:cs="Times New Roman"/>
          <w:i/>
          <w:kern w:val="0"/>
          <w14:ligatures w14:val="none"/>
        </w:rPr>
        <w:t>Id</w:t>
      </w:r>
      <w:r w:rsidRPr="00921DBA">
        <w:rPr>
          <w:rFonts w:ascii="Times New Roman" w:eastAsia="Calibri" w:hAnsi="Times New Roman" w:cs="Times New Roman"/>
          <w:kern w:val="0"/>
          <w14:ligatures w14:val="none"/>
        </w:rPr>
        <w:t xml:space="preserve">. </w:t>
      </w:r>
      <w:r w:rsidRPr="00921DBA">
        <w:rPr>
          <w:rFonts w:ascii="Times New Roman" w:eastAsia="Times New Roman" w:hAnsi="Times New Roman" w:cs="Times New Roman"/>
          <w:kern w:val="0"/>
          <w14:ligatures w14:val="none"/>
        </w:rPr>
        <w:t xml:space="preserve">“A defendant seeking to assert nominative fair use as a defense need only show that it used the mark to refer to the trademarked good . . . The burden then reverts to the plaintiff” to show that the nominative fair use elements are not met. </w:t>
      </w:r>
      <w:r w:rsidRPr="00921DBA">
        <w:rPr>
          <w:rFonts w:ascii="Times New Roman" w:eastAsia="Times New Roman" w:hAnsi="Times New Roman" w:cs="Times New Roman"/>
          <w:i/>
          <w:iCs/>
          <w:kern w:val="0"/>
          <w14:ligatures w14:val="none"/>
        </w:rPr>
        <w:t>Id</w:t>
      </w:r>
      <w:r w:rsidRPr="00921DBA">
        <w:rPr>
          <w:rFonts w:ascii="Times New Roman" w:eastAsia="Times New Roman" w:hAnsi="Times New Roman" w:cs="Times New Roman"/>
          <w:kern w:val="0"/>
          <w14:ligatures w14:val="none"/>
        </w:rPr>
        <w:t>. at 1183.</w:t>
      </w:r>
      <w:r w:rsidRPr="00921DBA">
        <w:rPr>
          <w:rFonts w:ascii="Times New Roman" w:eastAsia="Calibri" w:hAnsi="Times New Roman" w:cs="Times New Roman"/>
          <w:kern w:val="0"/>
          <w14:ligatures w14:val="none"/>
        </w:rPr>
        <w:t xml:space="preserve"> The nominative fair use defense is unavailable if the marks are not identical. </w:t>
      </w:r>
      <w:r w:rsidRPr="00921DBA">
        <w:rPr>
          <w:rFonts w:ascii="Times New Roman" w:eastAsia="Times New Roman" w:hAnsi="Times New Roman" w:cs="Times New Roman"/>
          <w:i/>
          <w:iCs/>
          <w:kern w:val="0"/>
          <w14:ligatures w14:val="none"/>
        </w:rPr>
        <w:t>Playboy Enterprises, Inc.</w:t>
      </w:r>
      <w:r w:rsidRPr="00921DBA">
        <w:rPr>
          <w:rFonts w:ascii="Times New Roman" w:eastAsia="Calibri" w:hAnsi="Times New Roman" w:cs="Times New Roman"/>
          <w:i/>
          <w:kern w:val="0"/>
          <w14:ligatures w14:val="none"/>
        </w:rPr>
        <w:t xml:space="preserve"> v. </w:t>
      </w:r>
      <w:r w:rsidRPr="00921DBA">
        <w:rPr>
          <w:rFonts w:ascii="Times New Roman" w:eastAsia="Times New Roman" w:hAnsi="Times New Roman" w:cs="Times New Roman"/>
          <w:i/>
          <w:iCs/>
          <w:kern w:val="0"/>
          <w14:ligatures w14:val="none"/>
        </w:rPr>
        <w:t>Welles</w:t>
      </w:r>
      <w:r w:rsidRPr="00921DBA">
        <w:rPr>
          <w:rFonts w:ascii="Times New Roman" w:eastAsia="Times New Roman" w:hAnsi="Times New Roman" w:cs="Times New Roman"/>
          <w:kern w:val="0"/>
          <w14:ligatures w14:val="none"/>
        </w:rPr>
        <w:t>, 279 F.3d 796, 801 (9th Cir. 2002) (“When a defendant uses a trademark nominally, the trademark will be identical to the plaintiff's mark, at least in terms of the words in question.”).</w:t>
      </w:r>
    </w:p>
    <w:p w14:paraId="113E91B0" w14:textId="77777777" w:rsidR="00921DBA" w:rsidRPr="00921DBA" w:rsidRDefault="00921DBA" w:rsidP="00921DBA">
      <w:pPr>
        <w:spacing w:after="0" w:line="240" w:lineRule="auto"/>
        <w:rPr>
          <w:rFonts w:ascii="Times New Roman" w:eastAsia="Times New Roman" w:hAnsi="Times New Roman" w:cs="Times New Roman"/>
          <w:kern w:val="0"/>
          <w14:ligatures w14:val="none"/>
        </w:rPr>
      </w:pPr>
    </w:p>
    <w:p w14:paraId="2867D864" w14:textId="77777777" w:rsidR="00921DBA" w:rsidRPr="00921DBA" w:rsidRDefault="00921DBA" w:rsidP="00921DBA">
      <w:pPr>
        <w:spacing w:after="0" w:line="240" w:lineRule="auto"/>
        <w:rPr>
          <w:rFonts w:ascii="Times New Roman" w:eastAsia="Times New Roman" w:hAnsi="Times New Roman" w:cs="Times New Roman"/>
          <w:kern w:val="0"/>
          <w14:ligatures w14:val="none"/>
        </w:rPr>
      </w:pPr>
      <w:r w:rsidRPr="00921DBA">
        <w:rPr>
          <w:rFonts w:ascii="Times New Roman" w:eastAsia="Times New Roman" w:hAnsi="Times New Roman" w:cs="Times New Roman"/>
          <w:kern w:val="0"/>
          <w14:ligatures w14:val="none"/>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921DBA">
        <w:rPr>
          <w:rFonts w:ascii="Times New Roman" w:eastAsia="Times New Roman" w:hAnsi="Times New Roman" w:cs="Times New Roman"/>
          <w:i/>
          <w:iCs/>
          <w:kern w:val="0"/>
          <w14:ligatures w14:val="none"/>
        </w:rPr>
        <w:t>Adobe</w:t>
      </w:r>
      <w:r w:rsidRPr="00921DBA">
        <w:rPr>
          <w:rFonts w:ascii="Times New Roman" w:eastAsia="Times New Roman" w:hAnsi="Times New Roman" w:cs="Times New Roman"/>
          <w:kern w:val="0"/>
          <w14:ligatures w14:val="none"/>
        </w:rPr>
        <w:t xml:space="preserve">, 809 F.3d at 1081. The nominative fair use analysis replaces the usual test for likelihood of confusion (the </w:t>
      </w:r>
      <w:proofErr w:type="spellStart"/>
      <w:r w:rsidRPr="00921DBA">
        <w:rPr>
          <w:rFonts w:ascii="Times New Roman" w:eastAsia="Times New Roman" w:hAnsi="Times New Roman" w:cs="Times New Roman"/>
          <w:i/>
          <w:iCs/>
          <w:kern w:val="0"/>
          <w14:ligatures w14:val="none"/>
        </w:rPr>
        <w:t>Sleekcraft</w:t>
      </w:r>
      <w:proofErr w:type="spellEnd"/>
      <w:r w:rsidRPr="00921DBA">
        <w:rPr>
          <w:rFonts w:ascii="Times New Roman" w:eastAsia="Times New Roman" w:hAnsi="Times New Roman" w:cs="Times New Roman"/>
          <w:kern w:val="0"/>
          <w14:ligatures w14:val="none"/>
        </w:rPr>
        <w:t xml:space="preserve"> factors) in cases where the defendant used the plaintiff’s trademark to “refer[] to the trademarked good itself.” </w:t>
      </w:r>
      <w:r w:rsidRPr="00921DBA">
        <w:rPr>
          <w:rFonts w:ascii="Times New Roman" w:eastAsia="Times New Roman" w:hAnsi="Times New Roman" w:cs="Times New Roman"/>
          <w:i/>
          <w:iCs/>
          <w:kern w:val="0"/>
          <w14:ligatures w14:val="none"/>
        </w:rPr>
        <w:t>Toyota</w:t>
      </w:r>
      <w:r w:rsidRPr="00921DBA">
        <w:rPr>
          <w:rFonts w:ascii="Times New Roman" w:eastAsia="Times New Roman" w:hAnsi="Times New Roman" w:cs="Times New Roman"/>
          <w:kern w:val="0"/>
          <w14:ligatures w14:val="none"/>
        </w:rPr>
        <w:t xml:space="preserve">, 610 F.3d at 1182; </w:t>
      </w:r>
      <w:r w:rsidRPr="00921DBA">
        <w:rPr>
          <w:rFonts w:ascii="Times New Roman" w:eastAsia="Times New Roman" w:hAnsi="Times New Roman" w:cs="Times New Roman"/>
          <w:i/>
          <w:iCs/>
          <w:kern w:val="0"/>
          <w14:ligatures w14:val="none"/>
        </w:rPr>
        <w:t>Adobe</w:t>
      </w:r>
      <w:r w:rsidRPr="00921DBA">
        <w:rPr>
          <w:rFonts w:ascii="Times New Roman" w:eastAsia="Times New Roman" w:hAnsi="Times New Roman" w:cs="Times New Roman"/>
          <w:kern w:val="0"/>
          <w14:ligatures w14:val="none"/>
        </w:rPr>
        <w:t>, 809 F.3d at 1081.</w:t>
      </w:r>
      <w:r w:rsidRPr="00921DBA">
        <w:rPr>
          <w:rFonts w:ascii="Times New Roman" w:eastAsia="Times New Roman" w:hAnsi="Times New Roman" w:cs="Times New Roman"/>
          <w:i/>
          <w:iCs/>
          <w:kern w:val="0"/>
          <w14:ligatures w14:val="none"/>
        </w:rPr>
        <w:t xml:space="preserve"> </w:t>
      </w:r>
      <w:r w:rsidRPr="00921DBA">
        <w:rPr>
          <w:rFonts w:ascii="Times New Roman" w:eastAsia="Times New Roman" w:hAnsi="Times New Roman" w:cs="Times New Roman"/>
          <w:kern w:val="0"/>
          <w14:ligatures w14:val="none"/>
        </w:rPr>
        <w:t xml:space="preserve">Because it is the plaintiff’s burden to show likelihood of confusion, “[the plaintiff] must bear the burden of establishing that the [defendant’s] use of [the plaintiff’s] mark was </w:t>
      </w:r>
      <w:r w:rsidRPr="00921DBA">
        <w:rPr>
          <w:rFonts w:ascii="Times New Roman" w:eastAsia="Times New Roman" w:hAnsi="Times New Roman" w:cs="Times New Roman"/>
          <w:i/>
          <w:iCs/>
          <w:kern w:val="0"/>
          <w14:ligatures w14:val="none"/>
        </w:rPr>
        <w:t>not</w:t>
      </w:r>
      <w:r w:rsidRPr="00921DBA">
        <w:rPr>
          <w:rFonts w:ascii="Times New Roman" w:eastAsia="Times New Roman" w:hAnsi="Times New Roman" w:cs="Times New Roman"/>
          <w:kern w:val="0"/>
          <w14:ligatures w14:val="none"/>
        </w:rPr>
        <w:t xml:space="preserve"> nominative fair use.” </w:t>
      </w:r>
      <w:r w:rsidRPr="00921DBA">
        <w:rPr>
          <w:rFonts w:ascii="Times New Roman" w:eastAsia="Times New Roman" w:hAnsi="Times New Roman" w:cs="Times New Roman"/>
          <w:i/>
          <w:iCs/>
          <w:kern w:val="0"/>
          <w14:ligatures w14:val="none"/>
        </w:rPr>
        <w:t>Toyota</w:t>
      </w:r>
      <w:r w:rsidRPr="00921DBA">
        <w:rPr>
          <w:rFonts w:ascii="Times New Roman" w:eastAsia="Times New Roman" w:hAnsi="Times New Roman" w:cs="Times New Roman"/>
          <w:kern w:val="0"/>
          <w14:ligatures w14:val="none"/>
        </w:rPr>
        <w:t xml:space="preserve">, 610 F.3d at 1182-83. </w:t>
      </w:r>
      <w:r w:rsidRPr="00921DBA">
        <w:rPr>
          <w:rFonts w:ascii="Times New Roman" w:eastAsia="Times New Roman" w:hAnsi="Times New Roman" w:cs="Times New Roman"/>
          <w:i/>
          <w:iCs/>
          <w:kern w:val="0"/>
          <w14:ligatures w14:val="none"/>
        </w:rPr>
        <w:t xml:space="preserve">See also </w:t>
      </w:r>
      <w:r w:rsidRPr="00921DBA">
        <w:rPr>
          <w:rFonts w:ascii="Times New Roman" w:eastAsia="Times New Roman" w:hAnsi="Times New Roman" w:cs="Times New Roman"/>
          <w:kern w:val="0"/>
          <w14:ligatures w14:val="none"/>
        </w:rPr>
        <w:t xml:space="preserve">4 </w:t>
      </w:r>
      <w:r w:rsidRPr="00921DBA">
        <w:rPr>
          <w:rFonts w:ascii="Times New Roman" w:eastAsia="Times New Roman" w:hAnsi="Times New Roman" w:cs="Times New Roman"/>
          <w:smallCaps/>
          <w:kern w:val="0"/>
          <w14:ligatures w14:val="none"/>
        </w:rPr>
        <w:t>J. Thomas McCarthy, McCarthy on Trademarks and Unfair Competition</w:t>
      </w:r>
      <w:r w:rsidRPr="00921DBA">
        <w:rPr>
          <w:rFonts w:ascii="Times New Roman" w:eastAsia="Times New Roman" w:hAnsi="Times New Roman" w:cs="Times New Roman"/>
          <w:i/>
          <w:iCs/>
          <w:smallCaps/>
          <w:kern w:val="0"/>
          <w14:ligatures w14:val="none"/>
        </w:rPr>
        <w:t xml:space="preserve"> </w:t>
      </w:r>
      <w:r w:rsidRPr="00921DBA">
        <w:rPr>
          <w:rFonts w:ascii="Times New Roman" w:eastAsia="Times New Roman" w:hAnsi="Times New Roman" w:cs="Times New Roman"/>
          <w:kern w:val="0"/>
          <w14:ligatures w14:val="none"/>
        </w:rPr>
        <w:t xml:space="preserve">§ 23:11 (5th ed. 2019). </w:t>
      </w:r>
    </w:p>
    <w:p w14:paraId="32E54ACC" w14:textId="77777777" w:rsidR="00921DBA" w:rsidRPr="00921DBA" w:rsidRDefault="00921DBA" w:rsidP="00921DBA">
      <w:pPr>
        <w:spacing w:after="0" w:line="240" w:lineRule="auto"/>
        <w:rPr>
          <w:rFonts w:ascii="Times New Roman" w:eastAsia="Times New Roman" w:hAnsi="Times New Roman" w:cs="Times New Roman"/>
          <w:i/>
          <w:iCs/>
          <w:kern w:val="0"/>
          <w14:ligatures w14:val="none"/>
        </w:rPr>
      </w:pPr>
    </w:p>
    <w:p w14:paraId="21733F1D" w14:textId="77FFA69B" w:rsidR="00921DBA" w:rsidRPr="00921DBA" w:rsidRDefault="00921DBA" w:rsidP="00921DBA">
      <w:pPr>
        <w:spacing w:after="0" w:line="240" w:lineRule="auto"/>
        <w:ind w:firstLine="720"/>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 xml:space="preserve">The nominative fair use defense applies only if the defendant “does not attempt to capitalize on consumer confusion or to appropriate the cachet of one product for a different one.”  </w:t>
      </w:r>
      <w:proofErr w:type="spellStart"/>
      <w:r w:rsidRPr="00921DBA">
        <w:rPr>
          <w:rFonts w:ascii="Times New Roman" w:eastAsia="Calibri" w:hAnsi="Times New Roman" w:cs="Times New Roman"/>
          <w:i/>
          <w:kern w:val="0"/>
          <w14:ligatures w14:val="none"/>
        </w:rPr>
        <w:t>Horphag</w:t>
      </w:r>
      <w:proofErr w:type="spellEnd"/>
      <w:r w:rsidRPr="00921DBA">
        <w:rPr>
          <w:rFonts w:ascii="Times New Roman" w:eastAsia="Calibri" w:hAnsi="Times New Roman" w:cs="Times New Roman"/>
          <w:i/>
          <w:kern w:val="0"/>
          <w14:ligatures w14:val="none"/>
        </w:rPr>
        <w:t xml:space="preserve"> </w:t>
      </w:r>
      <w:proofErr w:type="spellStart"/>
      <w:r w:rsidRPr="00921DBA">
        <w:rPr>
          <w:rFonts w:ascii="Times New Roman" w:eastAsia="Times New Roman" w:hAnsi="Times New Roman" w:cs="Times New Roman"/>
          <w:i/>
          <w:iCs/>
          <w:kern w:val="0"/>
          <w14:ligatures w14:val="none"/>
        </w:rPr>
        <w:t>Rsch</w:t>
      </w:r>
      <w:proofErr w:type="spellEnd"/>
      <w:r w:rsidRPr="00921DBA">
        <w:rPr>
          <w:rFonts w:ascii="Times New Roman" w:eastAsia="Times New Roman" w:hAnsi="Times New Roman" w:cs="Times New Roman"/>
          <w:i/>
          <w:iCs/>
          <w:kern w:val="0"/>
          <w14:ligatures w14:val="none"/>
        </w:rPr>
        <w:t>.</w:t>
      </w:r>
      <w:r w:rsidRPr="00921DBA">
        <w:rPr>
          <w:rFonts w:ascii="Times New Roman" w:eastAsia="Calibri" w:hAnsi="Times New Roman" w:cs="Times New Roman"/>
          <w:i/>
          <w:kern w:val="0"/>
          <w14:ligatures w14:val="none"/>
        </w:rPr>
        <w:t xml:space="preserve"> Ltd. v. Pellegrini</w:t>
      </w:r>
      <w:r w:rsidRPr="00921DBA">
        <w:rPr>
          <w:rFonts w:ascii="Times New Roman" w:eastAsia="Calibri" w:hAnsi="Times New Roman" w:cs="Times New Roman"/>
          <w:kern w:val="0"/>
          <w14:ligatures w14:val="none"/>
        </w:rPr>
        <w:t xml:space="preserve">, 337 F.3d 1036, 1041 (9th Cir. 2003) (holding nominative fair use defense unavailable </w:t>
      </w:r>
      <w:r w:rsidRPr="00921DBA">
        <w:rPr>
          <w:rFonts w:ascii="Times New Roman" w:eastAsia="Times New Roman" w:hAnsi="Times New Roman" w:cs="Times New Roman"/>
          <w:kern w:val="0"/>
          <w14:ligatures w14:val="none"/>
        </w:rPr>
        <w:t>where record showed</w:t>
      </w:r>
      <w:r w:rsidRPr="00921DBA">
        <w:rPr>
          <w:rFonts w:ascii="Times New Roman" w:eastAsia="Calibri" w:hAnsi="Times New Roman" w:cs="Times New Roman"/>
          <w:kern w:val="0"/>
          <w14:ligatures w14:val="none"/>
        </w:rPr>
        <w:t xml:space="preserve"> that defendant’s use of plaintiff’s trademark </w:t>
      </w:r>
      <w:r w:rsidRPr="00921DBA">
        <w:rPr>
          <w:rFonts w:ascii="Times New Roman" w:eastAsia="Times New Roman" w:hAnsi="Times New Roman" w:cs="Times New Roman"/>
          <w:kern w:val="0"/>
          <w14:ligatures w14:val="none"/>
        </w:rPr>
        <w:t>suggested</w:t>
      </w:r>
      <w:r w:rsidRPr="00921DBA">
        <w:rPr>
          <w:rFonts w:ascii="Times New Roman" w:eastAsia="Calibri" w:hAnsi="Times New Roman" w:cs="Times New Roman"/>
          <w:kern w:val="0"/>
          <w14:ligatures w14:val="none"/>
        </w:rPr>
        <w:t xml:space="preserve"> sponsorship or endorsement by trademark holder of defendant’s product) (citing </w:t>
      </w:r>
      <w:r w:rsidRPr="00921DBA">
        <w:rPr>
          <w:rFonts w:ascii="Times New Roman" w:eastAsia="Calibri" w:hAnsi="Times New Roman" w:cs="Times New Roman"/>
          <w:i/>
          <w:kern w:val="0"/>
          <w14:ligatures w14:val="none"/>
        </w:rPr>
        <w:t xml:space="preserve">New Kids on the Block v. News </w:t>
      </w:r>
      <w:r w:rsidRPr="00921DBA">
        <w:rPr>
          <w:rFonts w:ascii="Times New Roman" w:eastAsia="Times New Roman" w:hAnsi="Times New Roman" w:cs="Times New Roman"/>
          <w:i/>
          <w:iCs/>
          <w:kern w:val="0"/>
          <w14:ligatures w14:val="none"/>
        </w:rPr>
        <w:t>Am. Pub.,</w:t>
      </w:r>
      <w:r w:rsidRPr="00921DBA">
        <w:rPr>
          <w:rFonts w:ascii="Times New Roman" w:eastAsia="Calibri" w:hAnsi="Times New Roman" w:cs="Times New Roman"/>
          <w:i/>
          <w:kern w:val="0"/>
          <w14:ligatures w14:val="none"/>
        </w:rPr>
        <w:t xml:space="preserve"> Inc.</w:t>
      </w:r>
      <w:r w:rsidRPr="00921DBA">
        <w:rPr>
          <w:rFonts w:ascii="Times New Roman" w:eastAsia="Calibri" w:hAnsi="Times New Roman" w:cs="Times New Roman"/>
          <w:kern w:val="0"/>
          <w14:ligatures w14:val="none"/>
        </w:rPr>
        <w:t xml:space="preserve">, 971 F.2d 302, 306 (9th Cir. 1992)); </w:t>
      </w:r>
      <w:r w:rsidRPr="00921DBA">
        <w:rPr>
          <w:rFonts w:ascii="Times New Roman" w:eastAsia="Calibri" w:hAnsi="Times New Roman" w:cs="Times New Roman"/>
          <w:i/>
          <w:kern w:val="0"/>
          <w14:ligatures w14:val="none"/>
        </w:rPr>
        <w:t>see also Brother Records, Inc. v. Jardine</w:t>
      </w:r>
      <w:r w:rsidRPr="00921DBA">
        <w:rPr>
          <w:rFonts w:ascii="Times New Roman" w:eastAsia="Calibri" w:hAnsi="Times New Roman" w:cs="Times New Roman"/>
          <w:kern w:val="0"/>
          <w14:ligatures w14:val="none"/>
        </w:rPr>
        <w:t xml:space="preserve">, 318 F.3d 900, 905-08 (9th Cir. 2003) (discussing cases and application of nominative and classic fair use defenses, and finding neither available because defendant’s use of trademark was not in primary descriptive </w:t>
      </w:r>
      <w:proofErr w:type="gramStart"/>
      <w:r w:rsidRPr="00921DBA">
        <w:rPr>
          <w:rFonts w:ascii="Times New Roman" w:eastAsia="Calibri" w:hAnsi="Times New Roman" w:cs="Times New Roman"/>
          <w:kern w:val="0"/>
          <w14:ligatures w14:val="none"/>
        </w:rPr>
        <w:t>sense, but</w:t>
      </w:r>
      <w:proofErr w:type="gramEnd"/>
      <w:r w:rsidRPr="00921DBA">
        <w:rPr>
          <w:rFonts w:ascii="Times New Roman" w:eastAsia="Calibri" w:hAnsi="Times New Roman" w:cs="Times New Roman"/>
          <w:kern w:val="0"/>
          <w14:ligatures w14:val="none"/>
        </w:rPr>
        <w:t xml:space="preserve"> instead suggested sponsorship or endorsement by trademark holder);</w:t>
      </w:r>
      <w:r w:rsidRPr="00921DBA">
        <w:rPr>
          <w:rFonts w:ascii="Times New Roman" w:eastAsia="Calibri" w:hAnsi="Times New Roman" w:cs="Times New Roman"/>
          <w:i/>
          <w:kern w:val="0"/>
          <w14:ligatures w14:val="none"/>
        </w:rPr>
        <w:t xml:space="preserve"> Cairns</w:t>
      </w:r>
      <w:r w:rsidRPr="00921DBA">
        <w:rPr>
          <w:rFonts w:ascii="Times New Roman" w:eastAsia="Calibri" w:hAnsi="Times New Roman" w:cs="Times New Roman"/>
          <w:kern w:val="0"/>
          <w14:ligatures w14:val="none"/>
        </w:rPr>
        <w:t xml:space="preserve">, 292 F.3d at 1151 (“The nominative fair use analysis is appropriate where a defendant has used the plaintiff’s mark to describe the plaintiff’s product, even if the defendant’s ultimate goal is to describe his own product.” </w:t>
      </w:r>
      <w:r w:rsidRPr="00921DBA">
        <w:rPr>
          <w:rFonts w:ascii="Times New Roman" w:eastAsia="Times New Roman" w:hAnsi="Times New Roman" w:cs="Times New Roman"/>
          <w:kern w:val="0"/>
          <w14:ligatures w14:val="none"/>
        </w:rPr>
        <w:t xml:space="preserve">(emphasis omitted)); </w:t>
      </w:r>
      <w:r w:rsidRPr="00921DBA">
        <w:rPr>
          <w:rFonts w:ascii="Times New Roman" w:eastAsia="Times New Roman" w:hAnsi="Times New Roman" w:cs="Times New Roman"/>
          <w:i/>
          <w:iCs/>
          <w:kern w:val="0"/>
          <w14:ligatures w14:val="none"/>
        </w:rPr>
        <w:t>Yuga Labs, Inc. v. Ripps</w:t>
      </w:r>
      <w:r w:rsidRPr="00921DBA">
        <w:rPr>
          <w:rFonts w:ascii="Times New Roman" w:eastAsia="Times New Roman" w:hAnsi="Times New Roman" w:cs="Times New Roman"/>
          <w:kern w:val="0"/>
          <w14:ligatures w14:val="none"/>
        </w:rPr>
        <w:t>, 144 F.4th 1137, 1164 (9th Cir. 2025) (holding that nominative fair use did not apply when the defendants “used the [trademarks] to create, promote, and sell their own [nonfungible tokens] associated with the same artwork as plaintiff’s NFT collection”).</w:t>
      </w:r>
      <w:r w:rsidRPr="00921DBA">
        <w:rPr>
          <w:rFonts w:ascii="Times New Roman" w:eastAsia="Calibri" w:hAnsi="Times New Roman" w:cs="Times New Roman"/>
          <w:kern w:val="0"/>
          <w14:ligatures w14:val="none"/>
        </w:rPr>
        <w:t xml:space="preserve"> </w:t>
      </w:r>
    </w:p>
    <w:p w14:paraId="5D490E8E"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56C04150" w14:textId="77777777" w:rsidR="00921DBA" w:rsidRPr="00921DBA" w:rsidRDefault="00921DBA" w:rsidP="00921DBA">
      <w:pPr>
        <w:spacing w:after="0" w:line="240" w:lineRule="auto"/>
        <w:rPr>
          <w:rFonts w:ascii="Times New Roman" w:eastAsia="Calibri" w:hAnsi="Times New Roman" w:cs="Times New Roman"/>
          <w:kern w:val="0"/>
          <w14:ligatures w14:val="none"/>
        </w:rPr>
      </w:pPr>
      <w:r w:rsidRPr="00921DBA">
        <w:rPr>
          <w:rFonts w:ascii="Times New Roman" w:eastAsia="Calibri" w:hAnsi="Times New Roman" w:cs="Times New Roman"/>
          <w:kern w:val="0"/>
          <w14:ligatures w14:val="none"/>
        </w:rPr>
        <w:tab/>
      </w:r>
    </w:p>
    <w:p w14:paraId="28969133" w14:textId="77777777" w:rsidR="00921DBA" w:rsidRPr="00921DBA" w:rsidRDefault="00921DBA" w:rsidP="00921DBA">
      <w:pPr>
        <w:spacing w:after="0" w:line="240" w:lineRule="auto"/>
        <w:ind w:firstLine="720"/>
        <w:rPr>
          <w:rFonts w:ascii="Times New Roman" w:eastAsia="Calibri" w:hAnsi="Times New Roman" w:cs="Times New Roman"/>
          <w:b/>
          <w:bCs/>
          <w:kern w:val="0"/>
          <w14:ligatures w14:val="none"/>
        </w:rPr>
      </w:pPr>
      <w:r w:rsidRPr="00921DBA">
        <w:rPr>
          <w:rFonts w:ascii="Times New Roman" w:eastAsia="Calibri" w:hAnsi="Times New Roman" w:cs="Times New Roman"/>
          <w:kern w:val="0"/>
          <w14:ligatures w14:val="none"/>
        </w:rPr>
        <w:t>For application of fair use defense in trade dress cases or for application of First Amendment doctrines as a “fair use,”</w:t>
      </w:r>
      <w:r w:rsidRPr="00921DBA">
        <w:rPr>
          <w:rFonts w:ascii="Times New Roman" w:eastAsia="Calibri" w:hAnsi="Times New Roman" w:cs="Times New Roman"/>
          <w:i/>
          <w:kern w:val="0"/>
          <w14:ligatures w14:val="none"/>
        </w:rPr>
        <w:t xml:space="preserve"> </w:t>
      </w:r>
      <w:r w:rsidRPr="00921DBA">
        <w:rPr>
          <w:rFonts w:ascii="Times New Roman" w:eastAsia="Calibri" w:hAnsi="Times New Roman" w:cs="Times New Roman"/>
          <w:iCs/>
          <w:kern w:val="0"/>
          <w14:ligatures w14:val="none"/>
        </w:rPr>
        <w:t>see</w:t>
      </w:r>
      <w:r w:rsidRPr="00921DBA">
        <w:rPr>
          <w:rFonts w:ascii="Times New Roman" w:eastAsia="Calibri" w:hAnsi="Times New Roman" w:cs="Times New Roman"/>
          <w:kern w:val="0"/>
          <w14:ligatures w14:val="none"/>
        </w:rPr>
        <w:t xml:space="preserve"> Comment to Instruction 15.24 (Defenses—“Classic” Fair Use</w:t>
      </w:r>
      <w:r w:rsidRPr="00921DBA">
        <w:rPr>
          <w:rFonts w:ascii="Times New Roman" w:eastAsia="Times New Roman" w:hAnsi="Times New Roman" w:cs="Times New Roman"/>
          <w:kern w:val="0"/>
          <w14:ligatures w14:val="none"/>
        </w:rPr>
        <w:t xml:space="preserve"> (15 U.S.C. § 1115(b)(4))).</w:t>
      </w:r>
      <w:r w:rsidRPr="00921DBA">
        <w:rPr>
          <w:rFonts w:ascii="Times New Roman" w:eastAsia="Calibri" w:hAnsi="Times New Roman" w:cs="Times New Roman"/>
          <w:kern w:val="0"/>
          <w14:ligatures w14:val="none"/>
        </w:rPr>
        <w:t xml:space="preserve"> </w:t>
      </w:r>
    </w:p>
    <w:p w14:paraId="334D2406" w14:textId="77777777" w:rsidR="00921DBA" w:rsidRPr="00921DBA" w:rsidRDefault="00921DBA" w:rsidP="00921DBA">
      <w:pPr>
        <w:spacing w:after="0" w:line="240" w:lineRule="auto"/>
        <w:rPr>
          <w:rFonts w:ascii="Times New Roman" w:eastAsia="Calibri" w:hAnsi="Times New Roman" w:cs="Times New Roman"/>
          <w:kern w:val="0"/>
          <w14:ligatures w14:val="none"/>
        </w:rPr>
      </w:pPr>
    </w:p>
    <w:p w14:paraId="316BD37F" w14:textId="12FBCC80" w:rsidR="00921DBA" w:rsidRPr="00921DBA" w:rsidRDefault="00921DBA" w:rsidP="00921DBA">
      <w:pPr>
        <w:autoSpaceDE w:val="0"/>
        <w:autoSpaceDN w:val="0"/>
        <w:adjustRightInd w:val="0"/>
        <w:spacing w:after="0" w:line="240" w:lineRule="auto"/>
        <w:jc w:val="right"/>
        <w:rPr>
          <w:rFonts w:ascii="Times New Roman" w:eastAsia="Calibri" w:hAnsi="Times New Roman" w:cs="Times New Roman"/>
          <w:kern w:val="0"/>
          <w14:ligatures w14:val="none"/>
        </w:rPr>
      </w:pPr>
      <w:r w:rsidRPr="00921DBA">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 2025</w:t>
      </w:r>
    </w:p>
    <w:p w14:paraId="1AAD1923" w14:textId="03D3D092" w:rsidR="00147419" w:rsidRDefault="00147419" w:rsidP="00921DBA"/>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BA"/>
    <w:rsid w:val="00147419"/>
    <w:rsid w:val="003C7ED2"/>
    <w:rsid w:val="003D03CE"/>
    <w:rsid w:val="0042339F"/>
    <w:rsid w:val="007E0761"/>
    <w:rsid w:val="00920AE5"/>
    <w:rsid w:val="00921DBA"/>
    <w:rsid w:val="00B951E2"/>
    <w:rsid w:val="00C36D00"/>
    <w:rsid w:val="00D04691"/>
    <w:rsid w:val="00D54CA4"/>
    <w:rsid w:val="00F5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036B"/>
  <w15:chartTrackingRefBased/>
  <w15:docId w15:val="{E4683917-AF66-4039-A6FB-4B2A72FB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DBA"/>
    <w:rPr>
      <w:rFonts w:eastAsiaTheme="majorEastAsia" w:cstheme="majorBidi"/>
      <w:color w:val="272727" w:themeColor="text1" w:themeTint="D8"/>
    </w:rPr>
  </w:style>
  <w:style w:type="paragraph" w:styleId="Title">
    <w:name w:val="Title"/>
    <w:basedOn w:val="Normal"/>
    <w:next w:val="Normal"/>
    <w:link w:val="TitleChar"/>
    <w:uiPriority w:val="10"/>
    <w:qFormat/>
    <w:rsid w:val="00921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DBA"/>
    <w:pPr>
      <w:spacing w:before="160"/>
      <w:jc w:val="center"/>
    </w:pPr>
    <w:rPr>
      <w:i/>
      <w:iCs/>
      <w:color w:val="404040" w:themeColor="text1" w:themeTint="BF"/>
    </w:rPr>
  </w:style>
  <w:style w:type="character" w:customStyle="1" w:styleId="QuoteChar">
    <w:name w:val="Quote Char"/>
    <w:basedOn w:val="DefaultParagraphFont"/>
    <w:link w:val="Quote"/>
    <w:uiPriority w:val="29"/>
    <w:rsid w:val="00921DBA"/>
    <w:rPr>
      <w:i/>
      <w:iCs/>
      <w:color w:val="404040" w:themeColor="text1" w:themeTint="BF"/>
    </w:rPr>
  </w:style>
  <w:style w:type="paragraph" w:styleId="ListParagraph">
    <w:name w:val="List Paragraph"/>
    <w:basedOn w:val="Normal"/>
    <w:uiPriority w:val="34"/>
    <w:qFormat/>
    <w:rsid w:val="00921DBA"/>
    <w:pPr>
      <w:ind w:left="720"/>
      <w:contextualSpacing/>
    </w:pPr>
  </w:style>
  <w:style w:type="character" w:styleId="IntenseEmphasis">
    <w:name w:val="Intense Emphasis"/>
    <w:basedOn w:val="DefaultParagraphFont"/>
    <w:uiPriority w:val="21"/>
    <w:qFormat/>
    <w:rsid w:val="00921DBA"/>
    <w:rPr>
      <w:i/>
      <w:iCs/>
      <w:color w:val="0F4761" w:themeColor="accent1" w:themeShade="BF"/>
    </w:rPr>
  </w:style>
  <w:style w:type="paragraph" w:styleId="IntenseQuote">
    <w:name w:val="Intense Quote"/>
    <w:basedOn w:val="Normal"/>
    <w:next w:val="Normal"/>
    <w:link w:val="IntenseQuoteChar"/>
    <w:uiPriority w:val="30"/>
    <w:qFormat/>
    <w:rsid w:val="0092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DBA"/>
    <w:rPr>
      <w:i/>
      <w:iCs/>
      <w:color w:val="0F4761" w:themeColor="accent1" w:themeShade="BF"/>
    </w:rPr>
  </w:style>
  <w:style w:type="character" w:styleId="IntenseReference">
    <w:name w:val="Intense Reference"/>
    <w:basedOn w:val="DefaultParagraphFont"/>
    <w:uiPriority w:val="32"/>
    <w:qFormat/>
    <w:rsid w:val="00921DBA"/>
    <w:rPr>
      <w:b/>
      <w:bCs/>
      <w:smallCaps/>
      <w:color w:val="0F4761" w:themeColor="accent1" w:themeShade="BF"/>
      <w:spacing w:val="5"/>
    </w:rPr>
  </w:style>
  <w:style w:type="paragraph" w:styleId="Revision">
    <w:name w:val="Revision"/>
    <w:hidden/>
    <w:uiPriority w:val="99"/>
    <w:semiHidden/>
    <w:rsid w:val="00921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3</cp:revision>
  <dcterms:created xsi:type="dcterms:W3CDTF">2025-10-10T22:05:00Z</dcterms:created>
  <dcterms:modified xsi:type="dcterms:W3CDTF">2025-11-10T06:35:00Z</dcterms:modified>
</cp:coreProperties>
</file>