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07935" w14:textId="77777777" w:rsidR="004D6618" w:rsidRPr="004D6618" w:rsidRDefault="004D6618" w:rsidP="004D6618">
      <w:pPr>
        <w:autoSpaceDE w:val="0"/>
        <w:autoSpaceDN w:val="0"/>
        <w:adjustRightInd w:val="0"/>
        <w:spacing w:after="0" w:line="240" w:lineRule="auto"/>
        <w:jc w:val="center"/>
        <w:outlineLvl w:val="1"/>
        <w:rPr>
          <w:rFonts w:ascii="Times New Roman" w:eastAsia="Calibri" w:hAnsi="Times New Roman" w:cs="Times New Roman"/>
          <w:b/>
          <w:bCs/>
          <w:kern w:val="0"/>
          <w14:ligatures w14:val="none"/>
        </w:rPr>
      </w:pPr>
      <w:bookmarkStart w:id="0" w:name="_Toc115268272"/>
      <w:bookmarkStart w:id="1" w:name="_Toc214452645"/>
      <w:r w:rsidRPr="004D6618">
        <w:rPr>
          <w:rFonts w:ascii="Times New Roman" w:eastAsia="Calibri" w:hAnsi="Times New Roman" w:cs="Times New Roman"/>
          <w:b/>
          <w:bCs/>
          <w:kern w:val="0"/>
          <w14:ligatures w14:val="none"/>
        </w:rPr>
        <w:t>15.32 Trademark Dilution (15 U.S.C. § 1125(c))</w:t>
      </w:r>
      <w:bookmarkEnd w:id="0"/>
      <w:bookmarkEnd w:id="1"/>
    </w:p>
    <w:p w14:paraId="4CA6BA66" w14:textId="77777777" w:rsidR="004D6618" w:rsidRPr="004D6618" w:rsidRDefault="004D6618" w:rsidP="004D6618">
      <w:pPr>
        <w:spacing w:after="0" w:line="240" w:lineRule="auto"/>
        <w:rPr>
          <w:rFonts w:ascii="Times New Roman" w:eastAsia="Calibri" w:hAnsi="Times New Roman" w:cs="Times New Roman"/>
          <w:kern w:val="0"/>
          <w14:ligatures w14:val="none"/>
        </w:rPr>
      </w:pPr>
    </w:p>
    <w:p w14:paraId="3349B438" w14:textId="77777777" w:rsidR="004D6618" w:rsidRPr="004D6618" w:rsidRDefault="004D6618" w:rsidP="004D6618">
      <w:pPr>
        <w:autoSpaceDE w:val="0"/>
        <w:autoSpaceDN w:val="0"/>
        <w:adjustRightInd w:val="0"/>
        <w:spacing w:after="0" w:line="240" w:lineRule="auto"/>
        <w:jc w:val="center"/>
        <w:rPr>
          <w:rFonts w:ascii="Times New Roman" w:eastAsia="Calibri" w:hAnsi="Times New Roman" w:cs="Times New Roman"/>
          <w:kern w:val="0"/>
          <w14:ligatures w14:val="none"/>
        </w:rPr>
      </w:pPr>
      <w:r w:rsidRPr="004D6618">
        <w:rPr>
          <w:rFonts w:ascii="Times New Roman" w:eastAsia="Calibri" w:hAnsi="Times New Roman" w:cs="Times New Roman"/>
          <w:b/>
          <w:bCs/>
          <w:kern w:val="0"/>
          <w14:ligatures w14:val="none"/>
        </w:rPr>
        <w:t>Comment</w:t>
      </w:r>
    </w:p>
    <w:p w14:paraId="2D93A807" w14:textId="77777777" w:rsidR="004D6618" w:rsidRPr="004D6618" w:rsidRDefault="004D6618" w:rsidP="004D6618">
      <w:pPr>
        <w:autoSpaceDE w:val="0"/>
        <w:autoSpaceDN w:val="0"/>
        <w:adjustRightInd w:val="0"/>
        <w:spacing w:after="0" w:line="240" w:lineRule="auto"/>
        <w:rPr>
          <w:rFonts w:ascii="Times New Roman" w:eastAsia="Calibri" w:hAnsi="Times New Roman" w:cs="Times New Roman"/>
          <w:kern w:val="0"/>
          <w14:ligatures w14:val="none"/>
        </w:rPr>
      </w:pPr>
    </w:p>
    <w:p w14:paraId="14A1ECA9" w14:textId="77777777" w:rsidR="004D6618" w:rsidRDefault="004D6618" w:rsidP="004D6618">
      <w:pPr>
        <w:spacing w:after="0" w:line="240" w:lineRule="auto"/>
        <w:rPr>
          <w:rFonts w:ascii="Times New Roman" w:eastAsia="Calibri" w:hAnsi="Times New Roman" w:cs="Times New Roman"/>
          <w:kern w:val="0"/>
          <w14:ligatures w14:val="none"/>
        </w:rPr>
      </w:pPr>
      <w:r w:rsidRPr="004D6618">
        <w:rPr>
          <w:rFonts w:ascii="Times New Roman" w:eastAsia="Calibri" w:hAnsi="Times New Roman" w:cs="Times New Roman"/>
          <w:kern w:val="0"/>
          <w14:ligatures w14:val="none"/>
        </w:rPr>
        <w:tab/>
        <w:t xml:space="preserve">In 1995, Congress passed the Federal Trademark Dilution Act (“FTDA”), which remained in effect until 2006, when Congress passed the Trademark Dilution Revision Act of 2006 (“TDRA”). The TDRA significantly modified the FTDA, including overturning </w:t>
      </w:r>
      <w:r w:rsidRPr="004D6618">
        <w:rPr>
          <w:rFonts w:ascii="Times New Roman" w:eastAsia="Calibri" w:hAnsi="Times New Roman" w:cs="Times New Roman"/>
          <w:i/>
          <w:kern w:val="0"/>
          <w14:ligatures w14:val="none"/>
        </w:rPr>
        <w:t>Moseley v. V Secret Catalogue, Inc.</w:t>
      </w:r>
      <w:r w:rsidRPr="004D6618">
        <w:rPr>
          <w:rFonts w:ascii="Times New Roman" w:eastAsia="Calibri" w:hAnsi="Times New Roman" w:cs="Times New Roman"/>
          <w:kern w:val="0"/>
          <w14:ligatures w14:val="none"/>
        </w:rPr>
        <w:t xml:space="preserve">, 537 U.S. 418 (2003), which held that a plaintiff must prove actual dilution under the FTDA. Among other things, the TDRA established a “likelihood of dilution” standard (providing relief for “likely” dilution), eliminated the definition of “dilution,” added definitions of “dilution by </w:t>
      </w:r>
      <w:proofErr w:type="spellStart"/>
      <w:r w:rsidRPr="004D6618">
        <w:rPr>
          <w:rFonts w:ascii="Times New Roman" w:eastAsia="Calibri" w:hAnsi="Times New Roman" w:cs="Times New Roman"/>
          <w:kern w:val="0"/>
          <w14:ligatures w14:val="none"/>
        </w:rPr>
        <w:t>tarnishment</w:t>
      </w:r>
      <w:proofErr w:type="spellEnd"/>
      <w:r w:rsidRPr="004D6618">
        <w:rPr>
          <w:rFonts w:ascii="Times New Roman" w:eastAsia="Calibri" w:hAnsi="Times New Roman" w:cs="Times New Roman"/>
          <w:kern w:val="0"/>
          <w14:ligatures w14:val="none"/>
        </w:rPr>
        <w:t>” and “dilution by blurring,” and modified the “fair use” exclusion.</w:t>
      </w:r>
      <w:r w:rsidRPr="004D6618">
        <w:rPr>
          <w:rFonts w:ascii="Times New Roman" w:eastAsia="Calibri" w:hAnsi="Times New Roman" w:cs="Times New Roman"/>
          <w:i/>
          <w:kern w:val="0"/>
          <w14:ligatures w14:val="none"/>
        </w:rPr>
        <w:t xml:space="preserve"> See generally Levi Strauss &amp; Co. v. Abercrombie &amp; Fitch Trading Co.</w:t>
      </w:r>
      <w:r w:rsidRPr="004D6618">
        <w:rPr>
          <w:rFonts w:ascii="Times New Roman" w:eastAsia="Calibri" w:hAnsi="Times New Roman" w:cs="Times New Roman"/>
          <w:kern w:val="0"/>
          <w14:ligatures w14:val="none"/>
        </w:rPr>
        <w:t xml:space="preserve">, 633 F.3d 1158, 1165-71 (9th Cir. 2011). Thus, case law that pre-dates the TDRA generally should not be relied on in a dilution case. </w:t>
      </w:r>
    </w:p>
    <w:p w14:paraId="3BD26B86" w14:textId="77777777" w:rsidR="004D6618" w:rsidRPr="004D6618" w:rsidRDefault="004D6618" w:rsidP="004D6618">
      <w:pPr>
        <w:spacing w:after="0" w:line="240" w:lineRule="auto"/>
        <w:rPr>
          <w:rFonts w:ascii="Times New Roman" w:eastAsia="Calibri" w:hAnsi="Times New Roman" w:cs="Times New Roman"/>
          <w:kern w:val="0"/>
          <w14:ligatures w14:val="none"/>
        </w:rPr>
      </w:pPr>
    </w:p>
    <w:p w14:paraId="78787538" w14:textId="77777777" w:rsidR="004D6618" w:rsidRPr="004D6618" w:rsidRDefault="004D6618" w:rsidP="004D6618">
      <w:pPr>
        <w:autoSpaceDE w:val="0"/>
        <w:autoSpaceDN w:val="0"/>
        <w:adjustRightInd w:val="0"/>
        <w:spacing w:after="0" w:line="240" w:lineRule="auto"/>
        <w:ind w:firstLine="720"/>
        <w:rPr>
          <w:rFonts w:ascii="Times New Roman" w:eastAsia="Calibri" w:hAnsi="Times New Roman" w:cs="Times New Roman"/>
          <w:kern w:val="0"/>
          <w:szCs w:val="20"/>
          <w14:ligatures w14:val="none"/>
        </w:rPr>
      </w:pPr>
      <w:bookmarkStart w:id="2" w:name="_Hlk221268491"/>
      <w:r w:rsidRPr="004D6618">
        <w:rPr>
          <w:rFonts w:ascii="Times New Roman" w:eastAsia="Calibri" w:hAnsi="Times New Roman" w:cs="Times New Roman"/>
          <w:kern w:val="0"/>
          <w:szCs w:val="20"/>
          <w14:ligatures w14:val="none"/>
        </w:rPr>
        <w:t>“Dilution occurs when consumers form new and different associations with the plaintiff’s</w:t>
      </w:r>
    </w:p>
    <w:p w14:paraId="4035DD28" w14:textId="77777777" w:rsidR="004D6618" w:rsidRPr="004D6618" w:rsidRDefault="004D6618" w:rsidP="004D6618">
      <w:pPr>
        <w:autoSpaceDE w:val="0"/>
        <w:autoSpaceDN w:val="0"/>
        <w:adjustRightInd w:val="0"/>
        <w:spacing w:after="0" w:line="240" w:lineRule="auto"/>
        <w:rPr>
          <w:rFonts w:ascii="Times New Roman" w:eastAsia="Calibri" w:hAnsi="Times New Roman" w:cs="Times New Roman"/>
          <w:kern w:val="0"/>
          <w:szCs w:val="20"/>
          <w14:ligatures w14:val="none"/>
        </w:rPr>
      </w:pPr>
      <w:r w:rsidRPr="004D6618">
        <w:rPr>
          <w:rFonts w:ascii="Times New Roman" w:eastAsia="Calibri" w:hAnsi="Times New Roman" w:cs="Times New Roman"/>
          <w:kern w:val="0"/>
          <w:szCs w:val="20"/>
          <w14:ligatures w14:val="none"/>
        </w:rPr>
        <w:t xml:space="preserve">mark” </w:t>
      </w:r>
      <w:r w:rsidRPr="004D6618">
        <w:rPr>
          <w:rFonts w:ascii="Times New Roman" w:eastAsia="Calibri" w:hAnsi="Times New Roman" w:cs="Times New Roman"/>
          <w:i/>
          <w:iCs/>
          <w:kern w:val="0"/>
          <w:szCs w:val="20"/>
          <w14:ligatures w14:val="none"/>
        </w:rPr>
        <w:t xml:space="preserve">Visa Int’l Serv. </w:t>
      </w:r>
      <w:proofErr w:type="spellStart"/>
      <w:r w:rsidRPr="004D6618">
        <w:rPr>
          <w:rFonts w:ascii="Times New Roman" w:eastAsia="Calibri" w:hAnsi="Times New Roman" w:cs="Times New Roman"/>
          <w:i/>
          <w:iCs/>
          <w:kern w:val="0"/>
          <w:szCs w:val="20"/>
          <w14:ligatures w14:val="none"/>
        </w:rPr>
        <w:t>Ass’n</w:t>
      </w:r>
      <w:proofErr w:type="spellEnd"/>
      <w:r w:rsidRPr="004D6618">
        <w:rPr>
          <w:rFonts w:ascii="Times New Roman" w:eastAsia="Calibri" w:hAnsi="Times New Roman" w:cs="Times New Roman"/>
          <w:i/>
          <w:iCs/>
          <w:kern w:val="0"/>
          <w:szCs w:val="20"/>
          <w14:ligatures w14:val="none"/>
        </w:rPr>
        <w:t xml:space="preserve"> v. JSL Corp.</w:t>
      </w:r>
      <w:r w:rsidRPr="004D6618">
        <w:rPr>
          <w:rFonts w:ascii="Times New Roman" w:eastAsia="Calibri" w:hAnsi="Times New Roman" w:cs="Times New Roman"/>
          <w:kern w:val="0"/>
          <w:szCs w:val="20"/>
          <w14:ligatures w14:val="none"/>
        </w:rPr>
        <w:t>, 610 F.3d 1088, 1090 (9th Cir. 2010). To plead a</w:t>
      </w:r>
    </w:p>
    <w:p w14:paraId="6D720C17" w14:textId="77777777" w:rsidR="004D6618" w:rsidRPr="004D6618" w:rsidRDefault="004D6618" w:rsidP="004D6618">
      <w:pPr>
        <w:autoSpaceDE w:val="0"/>
        <w:autoSpaceDN w:val="0"/>
        <w:adjustRightInd w:val="0"/>
        <w:spacing w:after="0" w:line="240" w:lineRule="auto"/>
        <w:rPr>
          <w:rFonts w:ascii="Times New Roman" w:eastAsia="Calibri" w:hAnsi="Times New Roman" w:cs="Times New Roman"/>
          <w:kern w:val="0"/>
          <w:szCs w:val="20"/>
          <w14:ligatures w14:val="none"/>
        </w:rPr>
      </w:pPr>
      <w:r w:rsidRPr="004D6618">
        <w:rPr>
          <w:rFonts w:ascii="Times New Roman" w:eastAsia="Calibri" w:hAnsi="Times New Roman" w:cs="Times New Roman"/>
          <w:kern w:val="0"/>
          <w:szCs w:val="20"/>
          <w14:ligatures w14:val="none"/>
        </w:rPr>
        <w:t xml:space="preserve">trademark dilution claim, a plaintiff must show that “(1) the mark is famous and </w:t>
      </w:r>
      <w:proofErr w:type="gramStart"/>
      <w:r w:rsidRPr="004D6618">
        <w:rPr>
          <w:rFonts w:ascii="Times New Roman" w:eastAsia="Calibri" w:hAnsi="Times New Roman" w:cs="Times New Roman"/>
          <w:kern w:val="0"/>
          <w:szCs w:val="20"/>
          <w14:ligatures w14:val="none"/>
        </w:rPr>
        <w:t>distinctive;</w:t>
      </w:r>
      <w:proofErr w:type="gramEnd"/>
    </w:p>
    <w:p w14:paraId="4B46AFE9" w14:textId="77777777" w:rsidR="004D6618" w:rsidRPr="004D6618" w:rsidRDefault="004D6618" w:rsidP="004D6618">
      <w:pPr>
        <w:autoSpaceDE w:val="0"/>
        <w:autoSpaceDN w:val="0"/>
        <w:adjustRightInd w:val="0"/>
        <w:spacing w:after="0" w:line="240" w:lineRule="auto"/>
        <w:rPr>
          <w:rFonts w:ascii="Times New Roman" w:eastAsia="Calibri" w:hAnsi="Times New Roman" w:cs="Times New Roman"/>
          <w:kern w:val="0"/>
          <w:szCs w:val="20"/>
          <w14:ligatures w14:val="none"/>
        </w:rPr>
      </w:pPr>
      <w:r w:rsidRPr="004D6618">
        <w:rPr>
          <w:rFonts w:ascii="Times New Roman" w:eastAsia="Calibri" w:hAnsi="Times New Roman" w:cs="Times New Roman"/>
          <w:kern w:val="0"/>
          <w:szCs w:val="20"/>
          <w14:ligatures w14:val="none"/>
        </w:rPr>
        <w:t>(2) the defendant is making use of the mark in commerce; (3) the defendant’s use began after the</w:t>
      </w:r>
    </w:p>
    <w:p w14:paraId="71D76AAA" w14:textId="77777777" w:rsidR="004D6618" w:rsidRPr="004D6618" w:rsidRDefault="004D6618" w:rsidP="004D6618">
      <w:pPr>
        <w:autoSpaceDE w:val="0"/>
        <w:autoSpaceDN w:val="0"/>
        <w:adjustRightInd w:val="0"/>
        <w:spacing w:after="0" w:line="240" w:lineRule="auto"/>
        <w:rPr>
          <w:rFonts w:ascii="Times New Roman" w:eastAsia="Calibri" w:hAnsi="Times New Roman" w:cs="Times New Roman"/>
          <w:kern w:val="0"/>
          <w:szCs w:val="20"/>
          <w14:ligatures w14:val="none"/>
        </w:rPr>
      </w:pPr>
      <w:r w:rsidRPr="004D6618">
        <w:rPr>
          <w:rFonts w:ascii="Times New Roman" w:eastAsia="Calibri" w:hAnsi="Times New Roman" w:cs="Times New Roman"/>
          <w:kern w:val="0"/>
          <w:szCs w:val="20"/>
          <w14:ligatures w14:val="none"/>
        </w:rPr>
        <w:t>mark became famous; and (4) the defendant’s use of the mark is likely to cause dilution by</w:t>
      </w:r>
    </w:p>
    <w:p w14:paraId="7023E09C" w14:textId="77777777" w:rsidR="004D6618" w:rsidRPr="004D6618" w:rsidRDefault="004D6618" w:rsidP="004D6618">
      <w:pPr>
        <w:autoSpaceDE w:val="0"/>
        <w:autoSpaceDN w:val="0"/>
        <w:adjustRightInd w:val="0"/>
        <w:spacing w:after="0" w:line="240" w:lineRule="auto"/>
        <w:rPr>
          <w:rFonts w:ascii="Times New Roman" w:eastAsia="Calibri" w:hAnsi="Times New Roman" w:cs="Times New Roman"/>
          <w:kern w:val="0"/>
          <w:szCs w:val="20"/>
          <w14:ligatures w14:val="none"/>
        </w:rPr>
      </w:pPr>
      <w:r w:rsidRPr="004D6618">
        <w:rPr>
          <w:rFonts w:ascii="Times New Roman" w:eastAsia="Calibri" w:hAnsi="Times New Roman" w:cs="Times New Roman"/>
          <w:kern w:val="0"/>
          <w:szCs w:val="20"/>
          <w14:ligatures w14:val="none"/>
        </w:rPr>
        <w:t xml:space="preserve">blurring or dilution by </w:t>
      </w:r>
      <w:proofErr w:type="spellStart"/>
      <w:r w:rsidRPr="004D6618">
        <w:rPr>
          <w:rFonts w:ascii="Times New Roman" w:eastAsia="Calibri" w:hAnsi="Times New Roman" w:cs="Times New Roman"/>
          <w:kern w:val="0"/>
          <w:szCs w:val="20"/>
          <w14:ligatures w14:val="none"/>
        </w:rPr>
        <w:t>tarnishment</w:t>
      </w:r>
      <w:proofErr w:type="spellEnd"/>
      <w:r w:rsidRPr="004D6618">
        <w:rPr>
          <w:rFonts w:ascii="Times New Roman" w:eastAsia="Calibri" w:hAnsi="Times New Roman" w:cs="Times New Roman"/>
          <w:kern w:val="0"/>
          <w:szCs w:val="20"/>
          <w14:ligatures w14:val="none"/>
        </w:rPr>
        <w:t xml:space="preserve">.” </w:t>
      </w:r>
      <w:r w:rsidRPr="004D6618">
        <w:rPr>
          <w:rFonts w:ascii="Times New Roman" w:eastAsia="Calibri" w:hAnsi="Times New Roman" w:cs="Times New Roman"/>
          <w:i/>
          <w:iCs/>
          <w:kern w:val="0"/>
          <w:szCs w:val="20"/>
          <w14:ligatures w14:val="none"/>
        </w:rPr>
        <w:t>adidas Am., Inc. v. Skechers USA, Inc.</w:t>
      </w:r>
      <w:r w:rsidRPr="004D6618">
        <w:rPr>
          <w:rFonts w:ascii="Times New Roman" w:eastAsia="Calibri" w:hAnsi="Times New Roman" w:cs="Times New Roman"/>
          <w:kern w:val="0"/>
          <w:szCs w:val="20"/>
          <w14:ligatures w14:val="none"/>
        </w:rPr>
        <w:t>, 890 F.3d 747, 758</w:t>
      </w:r>
    </w:p>
    <w:p w14:paraId="2B6CAD65" w14:textId="77777777" w:rsidR="004D6618" w:rsidRPr="004D6618" w:rsidRDefault="004D6618" w:rsidP="004D6618">
      <w:pPr>
        <w:autoSpaceDE w:val="0"/>
        <w:autoSpaceDN w:val="0"/>
        <w:adjustRightInd w:val="0"/>
        <w:spacing w:after="0" w:line="240" w:lineRule="auto"/>
        <w:rPr>
          <w:rFonts w:ascii="Times New Roman" w:eastAsia="Calibri" w:hAnsi="Times New Roman" w:cs="Times New Roman"/>
          <w:kern w:val="0"/>
          <w:szCs w:val="20"/>
          <w14:ligatures w14:val="none"/>
        </w:rPr>
      </w:pPr>
      <w:r w:rsidRPr="004D6618">
        <w:rPr>
          <w:rFonts w:ascii="Times New Roman" w:eastAsia="Calibri" w:hAnsi="Times New Roman" w:cs="Times New Roman"/>
          <w:kern w:val="0"/>
          <w:szCs w:val="20"/>
          <w14:ligatures w14:val="none"/>
        </w:rPr>
        <w:t>(9th Cir. 2018) (citation omitted).</w:t>
      </w:r>
    </w:p>
    <w:bookmarkEnd w:id="2"/>
    <w:p w14:paraId="2300DA40" w14:textId="77777777" w:rsidR="004D6618" w:rsidRPr="004D6618" w:rsidRDefault="004D6618" w:rsidP="004D6618">
      <w:pPr>
        <w:spacing w:after="0" w:line="240" w:lineRule="auto"/>
        <w:rPr>
          <w:rFonts w:ascii="Times New Roman" w:eastAsia="Calibri" w:hAnsi="Times New Roman" w:cs="Times New Roman"/>
          <w:kern w:val="0"/>
          <w14:ligatures w14:val="none"/>
        </w:rPr>
      </w:pPr>
    </w:p>
    <w:p w14:paraId="72C18E55" w14:textId="77777777" w:rsidR="004D6618" w:rsidRPr="004D6618" w:rsidRDefault="004D6618" w:rsidP="004D6618">
      <w:pPr>
        <w:spacing w:after="0" w:line="240" w:lineRule="auto"/>
        <w:rPr>
          <w:rFonts w:ascii="Times New Roman" w:eastAsia="Calibri" w:hAnsi="Times New Roman" w:cs="Times New Roman"/>
          <w:kern w:val="0"/>
          <w14:ligatures w14:val="none"/>
        </w:rPr>
      </w:pPr>
      <w:r w:rsidRPr="004D6618">
        <w:rPr>
          <w:rFonts w:ascii="Times New Roman" w:eastAsia="Calibri" w:hAnsi="Times New Roman" w:cs="Times New Roman"/>
          <w:kern w:val="0"/>
          <w14:ligatures w14:val="none"/>
        </w:rPr>
        <w:tab/>
        <w:t xml:space="preserve">In </w:t>
      </w:r>
      <w:r w:rsidRPr="004D6618">
        <w:rPr>
          <w:rFonts w:ascii="Times New Roman" w:eastAsia="Calibri" w:hAnsi="Times New Roman" w:cs="Times New Roman"/>
          <w:i/>
          <w:kern w:val="0"/>
          <w14:ligatures w14:val="none"/>
        </w:rPr>
        <w:t xml:space="preserve">Blumenthal </w:t>
      </w:r>
      <w:proofErr w:type="spellStart"/>
      <w:r w:rsidRPr="004D6618">
        <w:rPr>
          <w:rFonts w:ascii="Times New Roman" w:eastAsia="Calibri" w:hAnsi="Times New Roman" w:cs="Times New Roman"/>
          <w:i/>
          <w:iCs/>
          <w:kern w:val="0"/>
          <w14:ligatures w14:val="none"/>
        </w:rPr>
        <w:t>Distrib</w:t>
      </w:r>
      <w:proofErr w:type="spellEnd"/>
      <w:r w:rsidRPr="004D6618">
        <w:rPr>
          <w:rFonts w:ascii="Times New Roman" w:eastAsia="Calibri" w:hAnsi="Times New Roman" w:cs="Times New Roman"/>
          <w:i/>
          <w:iCs/>
          <w:kern w:val="0"/>
          <w14:ligatures w14:val="none"/>
        </w:rPr>
        <w:t>.,</w:t>
      </w:r>
      <w:r w:rsidRPr="004D6618">
        <w:rPr>
          <w:rFonts w:ascii="Times New Roman" w:eastAsia="Calibri" w:hAnsi="Times New Roman" w:cs="Times New Roman"/>
          <w:i/>
          <w:kern w:val="0"/>
          <w14:ligatures w14:val="none"/>
        </w:rPr>
        <w:t xml:space="preserve"> Inc. v. Herman Miller, Inc.</w:t>
      </w:r>
      <w:r w:rsidRPr="004D6618">
        <w:rPr>
          <w:rFonts w:ascii="Times New Roman" w:eastAsia="Calibri" w:hAnsi="Times New Roman" w:cs="Times New Roman"/>
          <w:kern w:val="0"/>
          <w14:ligatures w14:val="none"/>
        </w:rPr>
        <w:t xml:space="preserve">, 963 F.3d 859, 869-71 (9th Cir. 2020), the Ninth Circuit provided an extensive discussion of the concept of trade dress dilution. </w:t>
      </w:r>
    </w:p>
    <w:p w14:paraId="067E3EDB" w14:textId="77777777" w:rsidR="004D6618" w:rsidRPr="004D6618" w:rsidRDefault="004D6618" w:rsidP="004D6618">
      <w:pPr>
        <w:spacing w:after="0" w:line="240" w:lineRule="auto"/>
        <w:rPr>
          <w:rFonts w:ascii="Times New Roman" w:eastAsia="Calibri" w:hAnsi="Times New Roman" w:cs="Times New Roman"/>
          <w:kern w:val="0"/>
          <w14:ligatures w14:val="none"/>
        </w:rPr>
      </w:pPr>
    </w:p>
    <w:p w14:paraId="343E014B" w14:textId="77777777" w:rsidR="004D6618" w:rsidRPr="004D6618" w:rsidRDefault="004D6618" w:rsidP="004D6618">
      <w:pPr>
        <w:spacing w:after="0" w:line="240" w:lineRule="auto"/>
        <w:ind w:firstLine="720"/>
        <w:rPr>
          <w:rFonts w:ascii="Times New Roman" w:eastAsia="Calibri" w:hAnsi="Times New Roman" w:cs="Times New Roman"/>
          <w:kern w:val="0"/>
          <w14:ligatures w14:val="none"/>
        </w:rPr>
      </w:pPr>
      <w:r w:rsidRPr="004D6618">
        <w:rPr>
          <w:rFonts w:ascii="Times New Roman" w:eastAsia="Calibri" w:hAnsi="Times New Roman" w:cs="Times New Roman"/>
          <w:kern w:val="0"/>
          <w14:ligatures w14:val="none"/>
        </w:rPr>
        <w:t xml:space="preserve">In </w:t>
      </w:r>
      <w:r w:rsidRPr="004D6618">
        <w:rPr>
          <w:rFonts w:ascii="Times New Roman" w:eastAsia="Calibri" w:hAnsi="Times New Roman" w:cs="Times New Roman"/>
          <w:i/>
          <w:kern w:val="0"/>
          <w14:ligatures w14:val="none"/>
        </w:rPr>
        <w:t>Jack Daniel’s Props. v. VIP Prods. LLC</w:t>
      </w:r>
      <w:r w:rsidRPr="004D6618">
        <w:rPr>
          <w:rFonts w:ascii="Times New Roman" w:eastAsia="Calibri" w:hAnsi="Times New Roman" w:cs="Times New Roman"/>
          <w:kern w:val="0"/>
          <w14:ligatures w14:val="none"/>
        </w:rPr>
        <w:t xml:space="preserve">, 599 U.S. 140 (2023), the Supreme Court held that the “noncommercial use” exclusion to trademark dilution does not include “every parody or humorous commentary.” 599 U.S. at 162. That is, the fair-use exclusion, 15 U.S.C. § 1125(c)(3)(A), “has its own exclusion: It does not apply when the use is ‘as a designation of source for the person’s own goods or services.’” </w:t>
      </w:r>
      <w:r w:rsidRPr="004D6618">
        <w:rPr>
          <w:rFonts w:ascii="Times New Roman" w:eastAsia="Calibri" w:hAnsi="Times New Roman" w:cs="Times New Roman"/>
          <w:i/>
          <w:kern w:val="0"/>
          <w14:ligatures w14:val="none"/>
        </w:rPr>
        <w:t>Id</w:t>
      </w:r>
      <w:r w:rsidRPr="004D6618">
        <w:rPr>
          <w:rFonts w:ascii="Times New Roman" w:eastAsia="Calibri" w:hAnsi="Times New Roman" w:cs="Times New Roman"/>
          <w:kern w:val="0"/>
          <w14:ligatures w14:val="none"/>
        </w:rPr>
        <w:t>. (quoting 15 U.S.C. § 1125(c)(3)(A)). Put differently, if the alleged diluting mark is used as a trademark, the defendant cannot avail itself of the fair-use exclusion for trademark dilution.</w:t>
      </w:r>
    </w:p>
    <w:p w14:paraId="49C47AC1" w14:textId="77777777" w:rsidR="004D6618" w:rsidRPr="004D6618" w:rsidRDefault="004D6618" w:rsidP="004D6618">
      <w:pPr>
        <w:spacing w:after="0" w:line="240" w:lineRule="auto"/>
        <w:rPr>
          <w:rFonts w:ascii="Times New Roman" w:eastAsia="Calibri" w:hAnsi="Times New Roman" w:cs="Times New Roman"/>
          <w:kern w:val="0"/>
          <w14:ligatures w14:val="none"/>
        </w:rPr>
      </w:pPr>
    </w:p>
    <w:p w14:paraId="11A61628" w14:textId="4568471A" w:rsidR="004D6618" w:rsidRPr="004D6618" w:rsidRDefault="004D6618" w:rsidP="004D6618">
      <w:pPr>
        <w:spacing w:after="0" w:line="240" w:lineRule="auto"/>
        <w:jc w:val="right"/>
        <w:rPr>
          <w:rFonts w:ascii="Times New Roman" w:eastAsia="Calibri" w:hAnsi="Times New Roman" w:cs="Times New Roman"/>
          <w:i/>
          <w:iCs/>
          <w:kern w:val="0"/>
          <w14:ligatures w14:val="none"/>
        </w:rPr>
      </w:pPr>
      <w:r w:rsidRPr="004D6618">
        <w:rPr>
          <w:rFonts w:ascii="Times New Roman" w:eastAsia="Calibri" w:hAnsi="Times New Roman" w:cs="Times New Roman"/>
          <w:i/>
          <w:iCs/>
          <w:kern w:val="0"/>
          <w14:ligatures w14:val="none"/>
        </w:rPr>
        <w:t xml:space="preserve">Revised </w:t>
      </w:r>
      <w:r w:rsidRPr="004D6618">
        <w:rPr>
          <w:rFonts w:ascii="Times New Roman" w:eastAsia="Calibri" w:hAnsi="Times New Roman" w:cs="Times New Roman"/>
          <w:i/>
          <w:iCs/>
          <w:kern w:val="0"/>
          <w:szCs w:val="20"/>
          <w14:ligatures w14:val="none"/>
        </w:rPr>
        <w:t>December 2025</w:t>
      </w:r>
    </w:p>
    <w:p w14:paraId="40EC27C2" w14:textId="77777777" w:rsidR="00147419" w:rsidRDefault="00147419"/>
    <w:sectPr w:rsidR="00147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18"/>
    <w:rsid w:val="00147419"/>
    <w:rsid w:val="001538F9"/>
    <w:rsid w:val="0042339F"/>
    <w:rsid w:val="004D6618"/>
    <w:rsid w:val="006D3AA0"/>
    <w:rsid w:val="007E0761"/>
    <w:rsid w:val="00907AC2"/>
    <w:rsid w:val="00B951E2"/>
    <w:rsid w:val="00C36D00"/>
    <w:rsid w:val="00D04691"/>
    <w:rsid w:val="00D54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4617D"/>
  <w15:chartTrackingRefBased/>
  <w15:docId w15:val="{A323BF30-73AA-476A-B60F-21FA856ED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66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66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66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66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66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66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6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6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6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6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66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66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66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66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66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6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6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618"/>
    <w:rPr>
      <w:rFonts w:eastAsiaTheme="majorEastAsia" w:cstheme="majorBidi"/>
      <w:color w:val="272727" w:themeColor="text1" w:themeTint="D8"/>
    </w:rPr>
  </w:style>
  <w:style w:type="paragraph" w:styleId="Title">
    <w:name w:val="Title"/>
    <w:basedOn w:val="Normal"/>
    <w:next w:val="Normal"/>
    <w:link w:val="TitleChar"/>
    <w:uiPriority w:val="10"/>
    <w:qFormat/>
    <w:rsid w:val="004D66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6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6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66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618"/>
    <w:pPr>
      <w:spacing w:before="160"/>
      <w:jc w:val="center"/>
    </w:pPr>
    <w:rPr>
      <w:i/>
      <w:iCs/>
      <w:color w:val="404040" w:themeColor="text1" w:themeTint="BF"/>
    </w:rPr>
  </w:style>
  <w:style w:type="character" w:customStyle="1" w:styleId="QuoteChar">
    <w:name w:val="Quote Char"/>
    <w:basedOn w:val="DefaultParagraphFont"/>
    <w:link w:val="Quote"/>
    <w:uiPriority w:val="29"/>
    <w:rsid w:val="004D6618"/>
    <w:rPr>
      <w:i/>
      <w:iCs/>
      <w:color w:val="404040" w:themeColor="text1" w:themeTint="BF"/>
    </w:rPr>
  </w:style>
  <w:style w:type="paragraph" w:styleId="ListParagraph">
    <w:name w:val="List Paragraph"/>
    <w:basedOn w:val="Normal"/>
    <w:uiPriority w:val="34"/>
    <w:qFormat/>
    <w:rsid w:val="004D6618"/>
    <w:pPr>
      <w:ind w:left="720"/>
      <w:contextualSpacing/>
    </w:pPr>
  </w:style>
  <w:style w:type="character" w:styleId="IntenseEmphasis">
    <w:name w:val="Intense Emphasis"/>
    <w:basedOn w:val="DefaultParagraphFont"/>
    <w:uiPriority w:val="21"/>
    <w:qFormat/>
    <w:rsid w:val="004D6618"/>
    <w:rPr>
      <w:i/>
      <w:iCs/>
      <w:color w:val="0F4761" w:themeColor="accent1" w:themeShade="BF"/>
    </w:rPr>
  </w:style>
  <w:style w:type="paragraph" w:styleId="IntenseQuote">
    <w:name w:val="Intense Quote"/>
    <w:basedOn w:val="Normal"/>
    <w:next w:val="Normal"/>
    <w:link w:val="IntenseQuoteChar"/>
    <w:uiPriority w:val="30"/>
    <w:qFormat/>
    <w:rsid w:val="004D66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6618"/>
    <w:rPr>
      <w:i/>
      <w:iCs/>
      <w:color w:val="0F4761" w:themeColor="accent1" w:themeShade="BF"/>
    </w:rPr>
  </w:style>
  <w:style w:type="character" w:styleId="IntenseReference">
    <w:name w:val="Intense Reference"/>
    <w:basedOn w:val="DefaultParagraphFont"/>
    <w:uiPriority w:val="32"/>
    <w:qFormat/>
    <w:rsid w:val="004D6618"/>
    <w:rPr>
      <w:b/>
      <w:bCs/>
      <w:smallCaps/>
      <w:color w:val="0F4761" w:themeColor="accent1" w:themeShade="BF"/>
      <w:spacing w:val="5"/>
    </w:rPr>
  </w:style>
  <w:style w:type="paragraph" w:styleId="Revision">
    <w:name w:val="Revision"/>
    <w:hidden/>
    <w:uiPriority w:val="99"/>
    <w:semiHidden/>
    <w:rsid w:val="004D66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1973</Characters>
  <Application>Microsoft Office Word</Application>
  <DocSecurity>0</DocSecurity>
  <Lines>16</Lines>
  <Paragraphs>4</Paragraphs>
  <ScaleCrop>false</ScaleCrop>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Aejung Yoon</cp:lastModifiedBy>
  <cp:revision>2</cp:revision>
  <dcterms:created xsi:type="dcterms:W3CDTF">2026-02-03T16:24:00Z</dcterms:created>
  <dcterms:modified xsi:type="dcterms:W3CDTF">2026-02-06T19:08:00Z</dcterms:modified>
</cp:coreProperties>
</file>