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26CC" w14:textId="77777777" w:rsidR="00401E4D" w:rsidRPr="00845725" w:rsidRDefault="00401E4D" w:rsidP="00401E4D">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40"/>
      <w:r w:rsidRPr="00845725">
        <w:rPr>
          <w:rFonts w:ascii="Times New Roman" w:eastAsia="Calibri" w:hAnsi="Times New Roman" w:cs="Times New Roman"/>
          <w:b/>
          <w:bCs/>
          <w:kern w:val="0"/>
          <w14:ligatures w14:val="none"/>
        </w:rPr>
        <w:t>17.10 Copyright Interests—Authors of Collective Works</w:t>
      </w:r>
      <w:r w:rsidRPr="00845725">
        <w:rPr>
          <w:rFonts w:ascii="Times New Roman" w:eastAsia="Calibri" w:hAnsi="Times New Roman" w:cs="Times New Roman"/>
          <w:b/>
          <w:bCs/>
          <w:kern w:val="0"/>
          <w14:ligatures w14:val="none"/>
        </w:rPr>
        <w:br/>
        <w:t>(17 U.S.C. § 201(c))</w:t>
      </w:r>
      <w:bookmarkEnd w:id="0"/>
    </w:p>
    <w:p w14:paraId="2C3D44F7"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p>
    <w:p w14:paraId="458B7DF0"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An owner of a copyright in a collective work is entitled to exclude others from copying it.  A collective work is a work [such as [a newspaper, magazine, or periodical issue] [anthology]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w:t>
      </w:r>
      <w:r w:rsidRPr="006362BA">
        <w:rPr>
          <w:rFonts w:ascii="Times New Roman" w:eastAsia="Calibri" w:hAnsi="Times New Roman" w:cs="Times New Roman"/>
          <w:kern w:val="0"/>
          <w14:ligatures w14:val="none"/>
        </w:rPr>
        <w:t>, but only in the selection, arrangement, or coordination of works made by that person</w:t>
      </w:r>
      <w:r w:rsidRPr="00845725">
        <w:rPr>
          <w:rFonts w:ascii="Times New Roman" w:eastAsia="Calibri" w:hAnsi="Times New Roman" w:cs="Times New Roman"/>
          <w:kern w:val="0"/>
          <w14:ligatures w14:val="none"/>
        </w:rPr>
        <w:t xml:space="preserve">.  </w:t>
      </w:r>
    </w:p>
    <w:p w14:paraId="136B4199"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p>
    <w:p w14:paraId="14C04328"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p>
    <w:p w14:paraId="2EDD0E54"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 </w:t>
      </w:r>
    </w:p>
    <w:p w14:paraId="717B7A37"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A copyright owner of a collective work may enforce the right to exclude others from the work’s original selection, coordination, or arrangement in an action for copyright infringement.</w:t>
      </w:r>
    </w:p>
    <w:p w14:paraId="290C77AF"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p>
    <w:p w14:paraId="5E583709" w14:textId="77777777" w:rsidR="00401E4D" w:rsidRPr="00845725" w:rsidRDefault="00401E4D" w:rsidP="00401E4D">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45725">
        <w:rPr>
          <w:rFonts w:ascii="Times New Roman" w:eastAsia="Calibri" w:hAnsi="Times New Roman" w:cs="Times New Roman"/>
          <w:b/>
          <w:bCs/>
          <w:kern w:val="0"/>
          <w14:ligatures w14:val="none"/>
        </w:rPr>
        <w:t>Comment</w:t>
      </w:r>
    </w:p>
    <w:p w14:paraId="79443287" w14:textId="77777777" w:rsidR="00401E4D" w:rsidRPr="00845725" w:rsidRDefault="00401E4D" w:rsidP="00401E4D">
      <w:pPr>
        <w:spacing w:after="0" w:line="240" w:lineRule="auto"/>
        <w:rPr>
          <w:rFonts w:ascii="Times New Roman" w:eastAsia="Calibri" w:hAnsi="Times New Roman" w:cs="Times New Roman"/>
          <w:kern w:val="0"/>
          <w14:ligatures w14:val="none"/>
        </w:rPr>
      </w:pPr>
    </w:p>
    <w:p w14:paraId="48535237"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ab/>
      </w:r>
      <w:r w:rsidRPr="00845725">
        <w:rPr>
          <w:rFonts w:ascii="Times New Roman" w:eastAsia="Calibri" w:hAnsi="Times New Roman" w:cs="Times New Roman"/>
          <w:i/>
          <w:iCs/>
          <w:kern w:val="0"/>
          <w14:ligatures w14:val="none"/>
        </w:rPr>
        <w:t xml:space="preserve">See </w:t>
      </w:r>
      <w:r w:rsidRPr="00845725">
        <w:rPr>
          <w:rFonts w:ascii="Times New Roman" w:eastAsia="Calibri" w:hAnsi="Times New Roman" w:cs="Times New Roman"/>
          <w:kern w:val="0"/>
          <w14:ligatures w14:val="none"/>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845725">
        <w:rPr>
          <w:rFonts w:ascii="Times New Roman" w:eastAsia="Calibri" w:hAnsi="Times New Roman" w:cs="Times New Roman"/>
          <w:i/>
          <w:iCs/>
          <w:kern w:val="0"/>
          <w14:ligatures w14:val="none"/>
        </w:rPr>
        <w:t>Jarvis v. K2 Inc.</w:t>
      </w:r>
      <w:r w:rsidRPr="00845725">
        <w:rPr>
          <w:rFonts w:ascii="Times New Roman" w:eastAsia="Calibri" w:hAnsi="Times New Roman" w:cs="Times New Roman"/>
          <w:kern w:val="0"/>
          <w14:ligatures w14:val="none"/>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845725">
        <w:rPr>
          <w:rFonts w:ascii="Times New Roman" w:eastAsia="Calibri" w:hAnsi="Times New Roman" w:cs="Times New Roman"/>
          <w:i/>
          <w:iCs/>
          <w:kern w:val="0"/>
          <w14:ligatures w14:val="none"/>
        </w:rPr>
        <w:t xml:space="preserve">N.Y. Times Co., Inc. v. </w:t>
      </w:r>
      <w:proofErr w:type="spellStart"/>
      <w:r w:rsidRPr="00845725">
        <w:rPr>
          <w:rFonts w:ascii="Times New Roman" w:eastAsia="Calibri" w:hAnsi="Times New Roman" w:cs="Times New Roman"/>
          <w:i/>
          <w:iCs/>
          <w:kern w:val="0"/>
          <w14:ligatures w14:val="none"/>
        </w:rPr>
        <w:t>Tasini</w:t>
      </w:r>
      <w:proofErr w:type="spellEnd"/>
      <w:r w:rsidRPr="00845725">
        <w:rPr>
          <w:rFonts w:ascii="Times New Roman" w:eastAsia="Calibri" w:hAnsi="Times New Roman" w:cs="Times New Roman"/>
          <w:kern w:val="0"/>
          <w14:ligatures w14:val="none"/>
        </w:rPr>
        <w:t xml:space="preserve">, 533 U.S. 483, 499-500 (2001) (considering use of contributions to periodicals and other collective works in databases).   </w:t>
      </w:r>
    </w:p>
    <w:p w14:paraId="3F85D47C"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p>
    <w:p w14:paraId="0C355DFC" w14:textId="77777777" w:rsidR="00401E4D" w:rsidRPr="00845725" w:rsidRDefault="00401E4D" w:rsidP="00401E4D">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Several sections of the Copyright Act concern the placement of the copyright notice on a collective work and on the contributions to the collective work. </w:t>
      </w:r>
      <w:r w:rsidRPr="00845725">
        <w:rPr>
          <w:rFonts w:ascii="Times New Roman" w:eastAsia="Calibri" w:hAnsi="Times New Roman" w:cs="Times New Roman"/>
          <w:i/>
          <w:iCs/>
          <w:kern w:val="0"/>
          <w14:ligatures w14:val="none"/>
        </w:rPr>
        <w:t xml:space="preserve">See </w:t>
      </w:r>
      <w:r w:rsidRPr="00845725">
        <w:rPr>
          <w:rFonts w:ascii="Times New Roman" w:eastAsia="Calibri" w:hAnsi="Times New Roman" w:cs="Times New Roman"/>
          <w:kern w:val="0"/>
          <w14:ligatures w14:val="none"/>
        </w:rPr>
        <w:t xml:space="preserve">17 U.S.C. §§ 401-406.  Regarding copyright notice, </w:t>
      </w:r>
      <w:r w:rsidRPr="00845725">
        <w:rPr>
          <w:rFonts w:ascii="Times New Roman" w:eastAsia="Calibri" w:hAnsi="Times New Roman" w:cs="Times New Roman"/>
          <w:i/>
          <w:iCs/>
          <w:kern w:val="0"/>
          <w14:ligatures w14:val="none"/>
        </w:rPr>
        <w:t>see</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Abend</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v. MCA, Inc.</w:t>
      </w:r>
      <w:r w:rsidRPr="00845725">
        <w:rPr>
          <w:rFonts w:ascii="Times New Roman" w:eastAsia="Calibri" w:hAnsi="Times New Roman" w:cs="Times New Roman"/>
          <w:kern w:val="0"/>
          <w14:ligatures w14:val="none"/>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845725">
        <w:rPr>
          <w:rFonts w:ascii="Times New Roman" w:eastAsia="Calibri" w:hAnsi="Times New Roman" w:cs="Times New Roman"/>
          <w:i/>
          <w:iCs/>
          <w:kern w:val="0"/>
          <w14:ligatures w14:val="none"/>
        </w:rPr>
        <w:t>aff’d</w:t>
      </w:r>
      <w:r w:rsidRPr="00845725">
        <w:rPr>
          <w:rFonts w:ascii="Times New Roman" w:eastAsia="Calibri" w:hAnsi="Times New Roman" w:cs="Times New Roman"/>
          <w:kern w:val="0"/>
          <w14:ligatures w14:val="none"/>
        </w:rPr>
        <w:t xml:space="preserve">, 495 U.S. 207 (1990). A different treatment applies if a collective work is covered by the Berne Convention Implementation Act, 17 U.S.C. § 405(a) (e.g., works distributed after March 1, 1989). </w:t>
      </w:r>
      <w:r w:rsidRPr="00845725">
        <w:rPr>
          <w:rFonts w:ascii="Times New Roman" w:eastAsia="Calibri" w:hAnsi="Times New Roman" w:cs="Times New Roman"/>
          <w:i/>
          <w:iCs/>
          <w:kern w:val="0"/>
          <w14:ligatures w14:val="none"/>
        </w:rPr>
        <w:t>See Golan v. Holder</w:t>
      </w:r>
      <w:r w:rsidRPr="00845725">
        <w:rPr>
          <w:rFonts w:ascii="Times New Roman" w:eastAsia="Calibri" w:hAnsi="Times New Roman" w:cs="Times New Roman"/>
          <w:kern w:val="0"/>
          <w14:ligatures w14:val="none"/>
        </w:rPr>
        <w:t xml:space="preserve">, 565 U.S. 302, 352 (2012) (noting that in 1989 United States adopted Berne Convention and abolished copyright notice requirement); </w:t>
      </w:r>
      <w:r w:rsidRPr="00845725">
        <w:rPr>
          <w:rFonts w:ascii="Times New Roman" w:eastAsia="Calibri" w:hAnsi="Times New Roman" w:cs="Times New Roman"/>
          <w:i/>
          <w:iCs/>
          <w:kern w:val="0"/>
          <w14:ligatures w14:val="none"/>
        </w:rPr>
        <w:t xml:space="preserve">see also </w:t>
      </w:r>
      <w:proofErr w:type="spellStart"/>
      <w:r w:rsidRPr="00845725">
        <w:rPr>
          <w:rFonts w:ascii="Times New Roman" w:eastAsia="Calibri" w:hAnsi="Times New Roman" w:cs="Times New Roman"/>
          <w:i/>
          <w:iCs/>
          <w:kern w:val="0"/>
          <w14:ligatures w14:val="none"/>
        </w:rPr>
        <w:t>Unicolors</w:t>
      </w:r>
      <w:proofErr w:type="spellEnd"/>
      <w:r w:rsidRPr="00845725">
        <w:rPr>
          <w:rFonts w:ascii="Times New Roman" w:eastAsia="Calibri" w:hAnsi="Times New Roman" w:cs="Times New Roman"/>
          <w:i/>
          <w:iCs/>
          <w:kern w:val="0"/>
          <w14:ligatures w14:val="none"/>
        </w:rPr>
        <w:t>, Inc. v. H&amp;M Hennes &amp; Mauritz, L.P.</w:t>
      </w:r>
      <w:r w:rsidRPr="00845725">
        <w:rPr>
          <w:rFonts w:ascii="Times New Roman" w:eastAsia="Calibri" w:hAnsi="Times New Roman" w:cs="Times New Roman"/>
          <w:kern w:val="0"/>
          <w14:ligatures w14:val="none"/>
        </w:rPr>
        <w:t xml:space="preserve">, </w:t>
      </w:r>
      <w:bookmarkStart w:id="1" w:name="_Hlk124272606"/>
      <w:r w:rsidRPr="00845725">
        <w:rPr>
          <w:rFonts w:ascii="Times New Roman" w:eastAsia="Calibri" w:hAnsi="Times New Roman" w:cs="Times New Roman"/>
          <w:kern w:val="0"/>
          <w14:ligatures w14:val="none"/>
        </w:rPr>
        <w:t>52 F.4th 1054, 1078 (9th Cir. 2022)</w:t>
      </w:r>
      <w:bookmarkEnd w:id="1"/>
      <w:r w:rsidRPr="00845725">
        <w:rPr>
          <w:rFonts w:ascii="Times New Roman" w:eastAsia="Calibri" w:hAnsi="Times New Roman" w:cs="Times New Roman"/>
          <w:i/>
          <w:iCs/>
          <w:kern w:val="0"/>
          <w14:ligatures w14:val="none"/>
        </w:rPr>
        <w:t xml:space="preserve"> </w:t>
      </w:r>
      <w:r w:rsidRPr="00845725">
        <w:rPr>
          <w:rFonts w:ascii="Times New Roman" w:eastAsia="Calibri" w:hAnsi="Times New Roman" w:cs="Times New Roman"/>
          <w:kern w:val="0"/>
          <w14:ligatures w14:val="none"/>
        </w:rPr>
        <w:t>(discussing foreign copyrights under Berne Convention).</w:t>
      </w:r>
    </w:p>
    <w:p w14:paraId="7BAE5348" w14:textId="75CB76D0" w:rsidR="00401E4D" w:rsidRPr="00401E4D" w:rsidRDefault="00401E4D" w:rsidP="00401E4D">
      <w:pPr>
        <w:autoSpaceDE w:val="0"/>
        <w:autoSpaceDN w:val="0"/>
        <w:adjustRightInd w:val="0"/>
        <w:spacing w:after="0" w:line="240" w:lineRule="auto"/>
        <w:jc w:val="right"/>
        <w:rPr>
          <w:rFonts w:ascii="Times New Roman" w:eastAsia="Calibri" w:hAnsi="Times New Roman" w:cs="Times New Roman"/>
          <w:i/>
          <w:iCs/>
          <w:kern w:val="0"/>
          <w14:ligatures w14:val="none"/>
        </w:rPr>
      </w:pPr>
      <w:r w:rsidRPr="00845725">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 2025</w:t>
      </w:r>
    </w:p>
    <w:sectPr w:rsidR="00401E4D" w:rsidRPr="00401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4D"/>
    <w:rsid w:val="00401E4D"/>
    <w:rsid w:val="0092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3020"/>
  <w15:chartTrackingRefBased/>
  <w15:docId w15:val="{C072E2A6-E7FE-4207-AA4B-573A1B14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4D"/>
  </w:style>
  <w:style w:type="paragraph" w:styleId="Heading1">
    <w:name w:val="heading 1"/>
    <w:basedOn w:val="Normal"/>
    <w:next w:val="Normal"/>
    <w:link w:val="Heading1Char"/>
    <w:uiPriority w:val="9"/>
    <w:qFormat/>
    <w:rsid w:val="00401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E4D"/>
    <w:rPr>
      <w:rFonts w:eastAsiaTheme="majorEastAsia" w:cstheme="majorBidi"/>
      <w:color w:val="272727" w:themeColor="text1" w:themeTint="D8"/>
    </w:rPr>
  </w:style>
  <w:style w:type="paragraph" w:styleId="Title">
    <w:name w:val="Title"/>
    <w:basedOn w:val="Normal"/>
    <w:next w:val="Normal"/>
    <w:link w:val="TitleChar"/>
    <w:uiPriority w:val="10"/>
    <w:qFormat/>
    <w:rsid w:val="0040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E4D"/>
    <w:pPr>
      <w:spacing w:before="160"/>
      <w:jc w:val="center"/>
    </w:pPr>
    <w:rPr>
      <w:i/>
      <w:iCs/>
      <w:color w:val="404040" w:themeColor="text1" w:themeTint="BF"/>
    </w:rPr>
  </w:style>
  <w:style w:type="character" w:customStyle="1" w:styleId="QuoteChar">
    <w:name w:val="Quote Char"/>
    <w:basedOn w:val="DefaultParagraphFont"/>
    <w:link w:val="Quote"/>
    <w:uiPriority w:val="29"/>
    <w:rsid w:val="00401E4D"/>
    <w:rPr>
      <w:i/>
      <w:iCs/>
      <w:color w:val="404040" w:themeColor="text1" w:themeTint="BF"/>
    </w:rPr>
  </w:style>
  <w:style w:type="paragraph" w:styleId="ListParagraph">
    <w:name w:val="List Paragraph"/>
    <w:basedOn w:val="Normal"/>
    <w:uiPriority w:val="34"/>
    <w:qFormat/>
    <w:rsid w:val="00401E4D"/>
    <w:pPr>
      <w:ind w:left="720"/>
      <w:contextualSpacing/>
    </w:pPr>
  </w:style>
  <w:style w:type="character" w:styleId="IntenseEmphasis">
    <w:name w:val="Intense Emphasis"/>
    <w:basedOn w:val="DefaultParagraphFont"/>
    <w:uiPriority w:val="21"/>
    <w:qFormat/>
    <w:rsid w:val="00401E4D"/>
    <w:rPr>
      <w:i/>
      <w:iCs/>
      <w:color w:val="0F4761" w:themeColor="accent1" w:themeShade="BF"/>
    </w:rPr>
  </w:style>
  <w:style w:type="paragraph" w:styleId="IntenseQuote">
    <w:name w:val="Intense Quote"/>
    <w:basedOn w:val="Normal"/>
    <w:next w:val="Normal"/>
    <w:link w:val="IntenseQuoteChar"/>
    <w:uiPriority w:val="30"/>
    <w:qFormat/>
    <w:rsid w:val="00401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E4D"/>
    <w:rPr>
      <w:i/>
      <w:iCs/>
      <w:color w:val="0F4761" w:themeColor="accent1" w:themeShade="BF"/>
    </w:rPr>
  </w:style>
  <w:style w:type="character" w:styleId="IntenseReference">
    <w:name w:val="Intense Reference"/>
    <w:basedOn w:val="DefaultParagraphFont"/>
    <w:uiPriority w:val="32"/>
    <w:qFormat/>
    <w:rsid w:val="00401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2855</Characters>
  <Application>Microsoft Office Word</Application>
  <DocSecurity>0</DocSecurity>
  <Lines>23</Lines>
  <Paragraphs>6</Paragraphs>
  <ScaleCrop>false</ScaleCrop>
  <Company>United States Courts</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2025-11-10T05:45:00Z</dcterms:created>
  <dcterms:modified xsi:type="dcterms:W3CDTF">2025-11-10T05:55:00Z</dcterms:modified>
</cp:coreProperties>
</file>