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B587" w14:textId="77777777" w:rsidR="00FD433C" w:rsidRPr="00845725" w:rsidRDefault="00FD433C" w:rsidP="00FD433C">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43"/>
      <w:r w:rsidRPr="00845725">
        <w:rPr>
          <w:rFonts w:ascii="Times New Roman" w:eastAsia="Calibri" w:hAnsi="Times New Roman" w:cs="Times New Roman"/>
          <w:b/>
          <w:bCs/>
          <w:kern w:val="0"/>
          <w14:ligatures w14:val="none"/>
        </w:rPr>
        <w:t>17.13 Copyright Interests—Exclusive Licensee</w:t>
      </w:r>
      <w:r w:rsidRPr="00845725">
        <w:rPr>
          <w:rFonts w:ascii="Times New Roman" w:eastAsia="Calibri" w:hAnsi="Times New Roman" w:cs="Times New Roman"/>
          <w:b/>
          <w:bCs/>
          <w:kern w:val="0"/>
          <w14:ligatures w14:val="none"/>
        </w:rPr>
        <w:br/>
        <w:t>(17 U.S.C. § 201(d)(2))</w:t>
      </w:r>
      <w:bookmarkEnd w:id="0"/>
    </w:p>
    <w:p w14:paraId="1D92B571" w14:textId="77777777" w:rsidR="00FD433C" w:rsidRPr="00845725" w:rsidRDefault="00FD433C" w:rsidP="00FD433C">
      <w:pPr>
        <w:autoSpaceDE w:val="0"/>
        <w:autoSpaceDN w:val="0"/>
        <w:adjustRightInd w:val="0"/>
        <w:spacing w:after="0" w:line="240" w:lineRule="auto"/>
        <w:rPr>
          <w:rFonts w:ascii="Times New Roman" w:eastAsia="Calibri" w:hAnsi="Times New Roman" w:cs="Times New Roman"/>
          <w:kern w:val="0"/>
          <w14:ligatures w14:val="none"/>
        </w:rPr>
      </w:pPr>
    </w:p>
    <w:p w14:paraId="204768C6"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[In this case, the [[plaintiff] [defendant]] </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i/>
          <w:iCs/>
          <w:kern w:val="0"/>
          <w:szCs w:val="22"/>
          <w:u w:val="single"/>
          <w14:ligatures w14:val="none"/>
        </w:rPr>
        <w:t>name</w:t>
      </w:r>
      <w:r w:rsidRPr="00845725">
        <w:rPr>
          <w:rFonts w:ascii="Times New Roman" w:eastAsia="Calibri" w:hAnsi="Times New Roman" w:cs="Times New Roman"/>
          <w:kern w:val="0"/>
          <w:szCs w:val="22"/>
          <w14:ligatures w14:val="none"/>
        </w:rPr>
        <w:t xml:space="preserve">] </w:t>
      </w:r>
      <w:r w:rsidRPr="00845725">
        <w:rPr>
          <w:rFonts w:ascii="Times New Roman" w:eastAsia="Calibri" w:hAnsi="Times New Roman" w:cs="Times New Roman"/>
          <w:kern w:val="0"/>
          <w14:ligatures w14:val="none"/>
        </w:rPr>
        <w:t xml:space="preserve">does not claim to be the [author] [creator] [initial owner] of the copyright at issue.  Instead, the [[plaintiff] [defendant]] </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i/>
          <w:iCs/>
          <w:kern w:val="0"/>
          <w:szCs w:val="22"/>
          <w:u w:val="single"/>
          <w14:ligatures w14:val="none"/>
        </w:rPr>
        <w:t>name</w:t>
      </w:r>
      <w:r w:rsidRPr="00845725">
        <w:rPr>
          <w:rFonts w:ascii="Times New Roman" w:eastAsia="Calibri" w:hAnsi="Times New Roman" w:cs="Times New Roman"/>
          <w:kern w:val="0"/>
          <w:szCs w:val="22"/>
          <w14:ligatures w14:val="none"/>
        </w:rPr>
        <w:t xml:space="preserve">] </w:t>
      </w:r>
      <w:r w:rsidRPr="00845725">
        <w:rPr>
          <w:rFonts w:ascii="Times New Roman" w:eastAsia="Calibri" w:hAnsi="Times New Roman" w:cs="Times New Roman"/>
          <w:kern w:val="0"/>
          <w14:ligatures w14:val="none"/>
        </w:rPr>
        <w:t xml:space="preserve">claims the copyright by virtue of an exclusive license from the work’s [author] [creator] [initial owner] and that the [[plaintiff] [defendant]] </w:t>
      </w:r>
      <w:r w:rsidRPr="00845725">
        <w:rPr>
          <w:rFonts w:ascii="Times New Roman" w:eastAsia="Calibri" w:hAnsi="Times New Roman" w:cs="Times New Roman"/>
          <w:kern w:val="0"/>
          <w:szCs w:val="22"/>
          <w14:ligatures w14:val="none"/>
        </w:rPr>
        <w:t>[</w:t>
      </w:r>
      <w:r w:rsidRPr="00845725">
        <w:rPr>
          <w:rFonts w:ascii="Times New Roman" w:eastAsia="Calibri" w:hAnsi="Times New Roman" w:cs="Times New Roman"/>
          <w:i/>
          <w:iCs/>
          <w:kern w:val="0"/>
          <w:szCs w:val="22"/>
          <w:u w:val="single"/>
          <w14:ligatures w14:val="none"/>
        </w:rPr>
        <w:t>name</w:t>
      </w:r>
      <w:r w:rsidRPr="00845725">
        <w:rPr>
          <w:rFonts w:ascii="Times New Roman" w:eastAsia="Calibri" w:hAnsi="Times New Roman" w:cs="Times New Roman"/>
          <w:kern w:val="0"/>
          <w:szCs w:val="22"/>
          <w14:ligatures w14:val="none"/>
        </w:rPr>
        <w:t xml:space="preserve">] </w:t>
      </w:r>
      <w:r w:rsidRPr="00845725">
        <w:rPr>
          <w:rFonts w:ascii="Times New Roman" w:eastAsia="Calibri" w:hAnsi="Times New Roman" w:cs="Times New Roman"/>
          <w:kern w:val="0"/>
          <w14:ligatures w14:val="none"/>
        </w:rPr>
        <w:t>is now the exclusive licensee of the copyright.]</w:t>
      </w:r>
    </w:p>
    <w:p w14:paraId="6E8B3AA9" w14:textId="77777777" w:rsidR="00FD433C" w:rsidRPr="00845725" w:rsidRDefault="00FD433C" w:rsidP="00FD433C">
      <w:pPr>
        <w:spacing w:after="0" w:line="240" w:lineRule="auto"/>
        <w:rPr>
          <w:rFonts w:ascii="Times New Roman" w:eastAsia="Calibri" w:hAnsi="Times New Roman" w:cs="Times New Roman"/>
          <w:kern w:val="0"/>
          <w14:ligatures w14:val="none"/>
        </w:rPr>
      </w:pPr>
    </w:p>
    <w:p w14:paraId="6E565137"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00769382" w14:textId="77777777" w:rsidR="00FD433C" w:rsidRPr="00845725" w:rsidRDefault="00FD433C" w:rsidP="00FD433C">
      <w:pPr>
        <w:spacing w:after="0" w:line="240" w:lineRule="auto"/>
        <w:rPr>
          <w:rFonts w:ascii="Times New Roman" w:eastAsia="Calibri" w:hAnsi="Times New Roman" w:cs="Times New Roman"/>
          <w:kern w:val="0"/>
          <w14:ligatures w14:val="none"/>
        </w:rPr>
      </w:pPr>
    </w:p>
    <w:p w14:paraId="6005A4B0"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[An exclusive licensee has the rights to exclude others from copying, adapting, distributing</w:t>
      </w:r>
      <w:r w:rsidRPr="003353E3">
        <w:t xml:space="preserve"> </w:t>
      </w:r>
      <w:r w:rsidRPr="003353E3">
        <w:rPr>
          <w:rFonts w:ascii="Times New Roman" w:eastAsia="Calibri" w:hAnsi="Times New Roman" w:cs="Times New Roman"/>
          <w:kern w:val="0"/>
          <w14:ligatures w14:val="none"/>
        </w:rPr>
        <w:t>to the public, publicly</w:t>
      </w:r>
      <w:r w:rsidRPr="00845725">
        <w:rPr>
          <w:rFonts w:ascii="Times New Roman" w:eastAsia="Calibri" w:hAnsi="Times New Roman" w:cs="Times New Roman"/>
          <w:kern w:val="0"/>
          <w14:ligatures w14:val="none"/>
        </w:rPr>
        <w:t xml:space="preserve"> performing, or </w:t>
      </w:r>
      <w:r>
        <w:rPr>
          <w:rFonts w:ascii="Times New Roman" w:eastAsia="Calibri" w:hAnsi="Times New Roman" w:cs="Times New Roman"/>
          <w:kern w:val="0"/>
          <w14:ligatures w14:val="none"/>
        </w:rPr>
        <w:t xml:space="preserve">publicly </w:t>
      </w:r>
      <w:r w:rsidRPr="00845725">
        <w:rPr>
          <w:rFonts w:ascii="Times New Roman" w:eastAsia="Calibri" w:hAnsi="Times New Roman" w:cs="Times New Roman"/>
          <w:kern w:val="0"/>
          <w14:ligatures w14:val="none"/>
        </w:rPr>
        <w:t>displaying the work [to the extent of the rights granted in the license]]. An exclusive licensee is entitled to bring an action for copyright infringement of the right licensed.</w:t>
      </w:r>
      <w:r w:rsidRPr="00845725">
        <w:rPr>
          <w:rFonts w:ascii="Times New Roman" w:eastAsia="Calibri" w:hAnsi="Times New Roman" w:cs="Times New Roman"/>
          <w:kern w:val="0"/>
          <w14:ligatures w14:val="none"/>
        </w:rPr>
        <w:tab/>
      </w:r>
    </w:p>
    <w:p w14:paraId="538BD233" w14:textId="77777777" w:rsidR="00FD433C" w:rsidRPr="00845725" w:rsidRDefault="00FD433C" w:rsidP="00FD433C">
      <w:pPr>
        <w:spacing w:after="0" w:line="240" w:lineRule="auto"/>
        <w:rPr>
          <w:rFonts w:ascii="Times New Roman" w:eastAsia="Calibri" w:hAnsi="Times New Roman" w:cs="Times New Roman"/>
          <w:kern w:val="0"/>
          <w14:ligatures w14:val="none"/>
        </w:rPr>
      </w:pPr>
    </w:p>
    <w:p w14:paraId="360BC0CD" w14:textId="77777777" w:rsidR="00FD433C" w:rsidRPr="00845725" w:rsidRDefault="00FD433C" w:rsidP="00FD433C">
      <w:pPr>
        <w:spacing w:after="0" w:line="240" w:lineRule="auto"/>
        <w:jc w:val="center"/>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Comment</w:t>
      </w:r>
    </w:p>
    <w:p w14:paraId="7BF03CE1" w14:textId="77777777" w:rsidR="00FD433C" w:rsidRPr="00845725" w:rsidRDefault="00FD433C" w:rsidP="00FD433C">
      <w:pPr>
        <w:spacing w:after="0" w:line="240" w:lineRule="auto"/>
        <w:rPr>
          <w:rFonts w:ascii="Times New Roman" w:eastAsia="Calibri" w:hAnsi="Times New Roman" w:cs="Times New Roman"/>
          <w:kern w:val="0"/>
          <w14:ligatures w14:val="none"/>
        </w:rPr>
      </w:pPr>
    </w:p>
    <w:p w14:paraId="4A5C7DB9"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w:t>
      </w:r>
      <w:r w:rsidRPr="00845725">
        <w:rPr>
          <w:rFonts w:ascii="Times New Roman" w:eastAsia="Calibri" w:hAnsi="Times New Roman" w:cs="Times New Roman"/>
          <w:i/>
          <w:iCs/>
          <w:kern w:val="0"/>
          <w14:ligatures w14:val="none"/>
        </w:rPr>
        <w:t xml:space="preserve"> e.g.</w:t>
      </w:r>
      <w:r w:rsidRPr="00845725">
        <w:rPr>
          <w:rFonts w:ascii="Times New Roman" w:eastAsia="Calibri" w:hAnsi="Times New Roman" w:cs="Times New Roman"/>
          <w:kern w:val="0"/>
          <w14:ligatures w14:val="none"/>
        </w:rPr>
        <w:t>,</w:t>
      </w:r>
      <w:r w:rsidRPr="00845725">
        <w:rPr>
          <w:rFonts w:ascii="Times New Roman" w:eastAsia="Calibri" w:hAnsi="Times New Roman" w:cs="Times New Roman"/>
          <w:i/>
          <w:iCs/>
          <w:kern w:val="0"/>
          <w14:ligatures w14:val="none"/>
        </w:rPr>
        <w:t xml:space="preserve"> Apple Computer, Inc. v. Microsoft Corp</w:t>
      </w:r>
      <w:r w:rsidRPr="00845725">
        <w:rPr>
          <w:rFonts w:ascii="Times New Roman" w:eastAsia="Calibri" w:hAnsi="Times New Roman" w:cs="Times New Roman"/>
          <w:kern w:val="0"/>
          <w14:ligatures w14:val="none"/>
        </w:rPr>
        <w:t>., 35 F.3d 1435, 1447-48 (9th Cir. 1994).</w:t>
      </w:r>
    </w:p>
    <w:p w14:paraId="594FF0F5" w14:textId="77777777" w:rsidR="00FD433C" w:rsidRPr="00845725" w:rsidRDefault="00FD433C" w:rsidP="00FD433C">
      <w:pPr>
        <w:spacing w:after="0" w:line="240" w:lineRule="auto"/>
        <w:rPr>
          <w:rFonts w:ascii="Times New Roman" w:eastAsia="Calibri" w:hAnsi="Times New Roman" w:cs="Times New Roman"/>
          <w:i/>
          <w:iCs/>
          <w:kern w:val="0"/>
          <w14:ligatures w14:val="none"/>
        </w:rPr>
      </w:pPr>
    </w:p>
    <w:p w14:paraId="6ADBBD2B"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“A ‘transfer of copyright ownership’ is an . . . exclusive license, or any other conveyance, alienation, or hypothecation of a copyright or of any of the exclusive rights comprised in a copyright . . . but not including a nonexclusive license.” 17 U.S.C. § 101. </w:t>
      </w:r>
    </w:p>
    <w:p w14:paraId="0AF5167B"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p>
    <w:p w14:paraId="776C29E6"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An exclusive license, other than one granted by operation of law, must be in writing if it was granted after 1978.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 xml:space="preserve"> P. Goldstein, </w:t>
      </w:r>
      <w:r w:rsidRPr="00845725">
        <w:rPr>
          <w:rFonts w:ascii="Times New Roman" w:eastAsia="Calibri" w:hAnsi="Times New Roman" w:cs="Times New Roman"/>
          <w:smallCaps/>
          <w:kern w:val="0"/>
          <w14:ligatures w14:val="none"/>
        </w:rPr>
        <w:t xml:space="preserve">Goldstein on Copyright </w:t>
      </w:r>
      <w:r w:rsidRPr="00845725">
        <w:rPr>
          <w:rFonts w:ascii="Times New Roman" w:eastAsia="Calibri" w:hAnsi="Times New Roman" w:cs="Times New Roman"/>
          <w:kern w:val="0"/>
          <w14:ligatures w14:val="none"/>
        </w:rPr>
        <w:t xml:space="preserve">§ 5.2.1.1 (2016); 3 M. Nimmer &amp; D. Nimmer, </w:t>
      </w:r>
      <w:r w:rsidRPr="00845725">
        <w:rPr>
          <w:rFonts w:ascii="Times New Roman" w:eastAsia="Calibri" w:hAnsi="Times New Roman" w:cs="Times New Roman"/>
          <w:smallCaps/>
          <w:kern w:val="0"/>
          <w14:ligatures w14:val="none"/>
        </w:rPr>
        <w:t xml:space="preserve">Nimmer on Copyright </w:t>
      </w:r>
      <w:r w:rsidRPr="00845725">
        <w:rPr>
          <w:rFonts w:ascii="Times New Roman" w:eastAsia="Calibri" w:hAnsi="Times New Roman" w:cs="Times New Roman"/>
          <w:kern w:val="0"/>
          <w14:ligatures w14:val="none"/>
        </w:rPr>
        <w:t xml:space="preserve">§ 10.03[A][1]. If it was granted prior to 1978, however, an exclusive license may be oral or implied by conduct. </w:t>
      </w:r>
      <w:r w:rsidRPr="00845725">
        <w:rPr>
          <w:rFonts w:ascii="Times New Roman" w:eastAsia="Calibri" w:hAnsi="Times New Roman" w:cs="Times New Roman"/>
          <w:i/>
          <w:iCs/>
          <w:kern w:val="0"/>
          <w14:ligatures w14:val="none"/>
        </w:rPr>
        <w:t>See id</w:t>
      </w:r>
      <w:r w:rsidRPr="00845725">
        <w:rPr>
          <w:rFonts w:ascii="Times New Roman" w:eastAsia="Calibri" w:hAnsi="Times New Roman" w:cs="Times New Roman"/>
          <w:kern w:val="0"/>
          <w14:ligatures w14:val="none"/>
        </w:rPr>
        <w:t>. at § 10.03[B][1];</w:t>
      </w:r>
      <w:r w:rsidRPr="00845725">
        <w:rPr>
          <w:rFonts w:ascii="Times New Roman" w:eastAsia="Calibri" w:hAnsi="Times New Roman" w:cs="Times New Roman"/>
          <w:smallCaps/>
          <w:kern w:val="0"/>
          <w14:ligatures w14:val="none"/>
        </w:rPr>
        <w:t xml:space="preserve"> Goldstein on Copyright </w:t>
      </w:r>
      <w:r w:rsidRPr="00845725">
        <w:rPr>
          <w:rFonts w:ascii="Times New Roman" w:eastAsia="Calibri" w:hAnsi="Times New Roman" w:cs="Times New Roman"/>
          <w:kern w:val="0"/>
          <w14:ligatures w14:val="none"/>
        </w:rPr>
        <w:t xml:space="preserve">§ 5.2.1.2; </w:t>
      </w:r>
      <w:r w:rsidRPr="00845725">
        <w:rPr>
          <w:rFonts w:ascii="Times New Roman" w:eastAsia="Calibri" w:hAnsi="Times New Roman" w:cs="Times New Roman"/>
          <w:i/>
          <w:iCs/>
          <w:kern w:val="0"/>
          <w14:ligatures w14:val="none"/>
        </w:rPr>
        <w:t xml:space="preserve">see also Micro Star v. </w:t>
      </w:r>
      <w:proofErr w:type="spellStart"/>
      <w:r w:rsidRPr="00845725">
        <w:rPr>
          <w:rFonts w:ascii="Times New Roman" w:eastAsia="Calibri" w:hAnsi="Times New Roman" w:cs="Times New Roman"/>
          <w:i/>
          <w:iCs/>
          <w:kern w:val="0"/>
          <w14:ligatures w14:val="none"/>
        </w:rPr>
        <w:t>Formgen</w:t>
      </w:r>
      <w:proofErr w:type="spellEnd"/>
      <w:r w:rsidRPr="00845725">
        <w:rPr>
          <w:rFonts w:ascii="Times New Roman" w:eastAsia="Calibri" w:hAnsi="Times New Roman" w:cs="Times New Roman"/>
          <w:i/>
          <w:iCs/>
          <w:kern w:val="0"/>
          <w14:ligatures w14:val="none"/>
        </w:rPr>
        <w:t>, Inc.</w:t>
      </w:r>
      <w:r w:rsidRPr="00845725">
        <w:rPr>
          <w:rFonts w:ascii="Times New Roman" w:eastAsia="Calibri" w:hAnsi="Times New Roman" w:cs="Times New Roman"/>
          <w:kern w:val="0"/>
          <w14:ligatures w14:val="none"/>
        </w:rPr>
        <w:t>, 154 F.3d 1107, 1113 (9th Cir. 1998);</w:t>
      </w:r>
      <w:r w:rsidRPr="00845725">
        <w:rPr>
          <w:rFonts w:ascii="Times New Roman" w:eastAsia="Calibri" w:hAnsi="Times New Roman" w:cs="Times New Roman"/>
          <w:i/>
          <w:iCs/>
          <w:kern w:val="0"/>
          <w14:ligatures w14:val="none"/>
        </w:rPr>
        <w:t xml:space="preserve"> Effects Assocs. Inc. v. Cohen</w:t>
      </w:r>
      <w:r w:rsidRPr="00845725">
        <w:rPr>
          <w:rFonts w:ascii="Times New Roman" w:eastAsia="Calibri" w:hAnsi="Times New Roman" w:cs="Times New Roman"/>
          <w:kern w:val="0"/>
          <w14:ligatures w14:val="none"/>
        </w:rP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proofErr w:type="gramStart"/>
      <w:r w:rsidRPr="00845725">
        <w:rPr>
          <w:rFonts w:ascii="Times New Roman" w:eastAsia="Calibri" w:hAnsi="Times New Roman" w:cs="Times New Roman"/>
          <w:kern w:val="0"/>
          <w14:ligatures w14:val="none"/>
        </w:rPr>
        <w:t>);</w:t>
      </w:r>
      <w:proofErr w:type="gramEnd"/>
      <w:r w:rsidRPr="00845725">
        <w:rPr>
          <w:rFonts w:ascii="Times New Roman" w:eastAsia="Calibri" w:hAnsi="Times New Roman" w:cs="Times New Roman"/>
          <w:i/>
          <w:iCs/>
          <w:kern w:val="0"/>
          <w14:ligatures w14:val="none"/>
        </w:rPr>
        <w:t xml:space="preserve"> Radio Television Espanola v. New World Ent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 xml:space="preserve"> Ltd.</w:t>
      </w:r>
      <w:r w:rsidRPr="00845725">
        <w:rPr>
          <w:rFonts w:ascii="Times New Roman" w:eastAsia="Calibri" w:hAnsi="Times New Roman" w:cs="Times New Roman"/>
          <w:kern w:val="0"/>
          <w14:ligatures w14:val="none"/>
        </w:rPr>
        <w:t xml:space="preserve">, 183 F.3d 922, 926-27 (9th Cir. 1999) (holding that § 204(a) is satisfied by writing demonstrating transfer of copyright, indicating terms of license). “No magic words must be included in a document to satisfy § 204(a). Rather, the parties’ intent as evidenced by the writing must demonstrate a transfer of a copyright.” </w:t>
      </w:r>
      <w:r w:rsidRPr="00845725">
        <w:rPr>
          <w:rFonts w:ascii="Times New Roman" w:eastAsia="Calibri" w:hAnsi="Times New Roman" w:cs="Times New Roman"/>
          <w:i/>
          <w:iCs/>
          <w:kern w:val="0"/>
          <w14:ligatures w14:val="none"/>
        </w:rPr>
        <w:t>Id.</w:t>
      </w:r>
    </w:p>
    <w:p w14:paraId="0B9045C2" w14:textId="77777777" w:rsidR="00FD433C" w:rsidRPr="00845725" w:rsidRDefault="00FD433C" w:rsidP="00FD433C">
      <w:pPr>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 </w:t>
      </w:r>
    </w:p>
    <w:p w14:paraId="38D0D7DA" w14:textId="77777777" w:rsidR="00FD433C" w:rsidRPr="00845725" w:rsidRDefault="00FD433C" w:rsidP="00FD433C">
      <w:pPr>
        <w:spacing w:after="0" w:line="240" w:lineRule="auto"/>
        <w:rPr>
          <w:rFonts w:ascii="Times New Roman" w:eastAsia="Calibri" w:hAnsi="Times New Roman" w:cs="Times New Roman"/>
          <w:kern w:val="0"/>
          <w14:ligatures w14:val="none"/>
        </w:rPr>
        <w:sectPr w:rsidR="00FD433C" w:rsidRPr="00845725" w:rsidSect="00FD433C">
          <w:footerReference w:type="default" r:id="rId4"/>
          <w:pgSz w:w="12240" w:h="15840"/>
          <w:pgMar w:top="1440" w:right="1440" w:bottom="1440" w:left="1440" w:header="1440" w:footer="1440" w:gutter="0"/>
          <w:cols w:space="720"/>
          <w:noEndnote/>
        </w:sectPr>
      </w:pPr>
    </w:p>
    <w:p w14:paraId="3EF59EC3"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lastRenderedPageBreak/>
        <w:t xml:space="preserve">“[T]he various rights included in a copyright are divisible and . . . ‘any of the exclusive rights comprised in a copyright . . . may be transferred . . . and owned separately.’” </w:t>
      </w:r>
      <w:r w:rsidRPr="00845725">
        <w:rPr>
          <w:rFonts w:ascii="Times New Roman" w:eastAsia="Calibri" w:hAnsi="Times New Roman" w:cs="Times New Roman"/>
          <w:i/>
          <w:iCs/>
          <w:kern w:val="0"/>
          <w14:ligatures w14:val="none"/>
        </w:rPr>
        <w:t>Bagdadi v. Nazar</w:t>
      </w:r>
      <w:r w:rsidRPr="00845725">
        <w:rPr>
          <w:rFonts w:ascii="Times New Roman" w:eastAsia="Calibri" w:hAnsi="Times New Roman" w:cs="Times New Roman"/>
          <w:kern w:val="0"/>
          <w14:ligatures w14:val="none"/>
        </w:rPr>
        <w:t xml:space="preserve">, 84 F.3d 1194, 1197 (9th Cir. 1996) (quoting 17 U.S.C.  § 201(d)(2)). “An exclusive licensee owns separately only the ‘exclusive rights comprised in the copyright’ that are the subject of his license.” </w:t>
      </w:r>
      <w:r w:rsidRPr="00845725">
        <w:rPr>
          <w:rFonts w:ascii="Times New Roman" w:eastAsia="Calibri" w:hAnsi="Times New Roman" w:cs="Times New Roman"/>
          <w:i/>
          <w:iCs/>
          <w:kern w:val="0"/>
          <w14:ligatures w14:val="none"/>
        </w:rPr>
        <w:t xml:space="preserve">Id. </w:t>
      </w:r>
      <w:r w:rsidRPr="00845725">
        <w:rPr>
          <w:rFonts w:ascii="Times New Roman" w:eastAsia="Calibri" w:hAnsi="Times New Roman" w:cs="Times New Roman"/>
          <w:kern w:val="0"/>
          <w14:ligatures w14:val="none"/>
        </w:rPr>
        <w:t xml:space="preserve">at 1197-98 (citation omitted). The owner of any particular exclusive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sidRPr="00845725">
        <w:rPr>
          <w:rFonts w:ascii="Times New Roman" w:eastAsia="Calibri" w:hAnsi="Times New Roman" w:cs="Times New Roman"/>
          <w:i/>
          <w:iCs/>
          <w:kern w:val="0"/>
          <w14:ligatures w14:val="none"/>
        </w:rPr>
        <w:t>Silvers v. Sony Pictures Ent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 Inc.</w:t>
      </w:r>
      <w:r w:rsidRPr="00845725">
        <w:rPr>
          <w:rFonts w:ascii="Times New Roman" w:eastAsia="Calibri" w:hAnsi="Times New Roman" w:cs="Times New Roman"/>
          <w:kern w:val="0"/>
          <w14:ligatures w14:val="none"/>
        </w:rPr>
        <w:t>, 402 F.3d 881, 887 (9th Cir. 2005).</w:t>
      </w:r>
    </w:p>
    <w:p w14:paraId="6FD86D23" w14:textId="77777777" w:rsidR="00FD433C" w:rsidRPr="00845725" w:rsidRDefault="00FD433C" w:rsidP="00FD433C">
      <w:pPr>
        <w:spacing w:after="0" w:line="240" w:lineRule="auto"/>
        <w:rPr>
          <w:rFonts w:ascii="Times New Roman" w:eastAsia="Calibri" w:hAnsi="Times New Roman" w:cs="Times New Roman"/>
          <w:kern w:val="0"/>
          <w14:ligatures w14:val="none"/>
        </w:rPr>
      </w:pPr>
    </w:p>
    <w:p w14:paraId="5CDFD0CC"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Questions regarding the ownership of a copyright are governed by state law in some situations. </w:t>
      </w:r>
      <w:r w:rsidRPr="00845725">
        <w:rPr>
          <w:rFonts w:ascii="Times New Roman" w:eastAsia="Calibri" w:hAnsi="Times New Roman" w:cs="Times New Roman"/>
          <w:i/>
          <w:iCs/>
          <w:kern w:val="0"/>
          <w14:ligatures w14:val="none"/>
        </w:rPr>
        <w:t>See Scholastic Ent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 Inc. v. Fox Ent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 xml:space="preserve"> Group, Inc</w:t>
      </w:r>
      <w:r w:rsidRPr="00845725">
        <w:rPr>
          <w:rFonts w:ascii="Times New Roman" w:eastAsia="Calibri" w:hAnsi="Times New Roman" w:cs="Times New Roman"/>
          <w:kern w:val="0"/>
          <w14:ligatures w14:val="none"/>
        </w:rPr>
        <w:t>., 336 F.3d 982, 983, 988 (9th Cir. 2003);</w:t>
      </w:r>
      <w:r w:rsidRPr="00845725">
        <w:rPr>
          <w:rFonts w:ascii="Times New Roman" w:eastAsia="Calibri" w:hAnsi="Times New Roman" w:cs="Times New Roman"/>
          <w:i/>
          <w:iCs/>
          <w:kern w:val="0"/>
          <w14:ligatures w14:val="none"/>
        </w:rPr>
        <w:t xml:space="preserve"> Rano v. Sipa Press, Inc.</w:t>
      </w:r>
      <w:r w:rsidRPr="00845725">
        <w:rPr>
          <w:rFonts w:ascii="Times New Roman" w:eastAsia="Calibri" w:hAnsi="Times New Roman" w:cs="Times New Roman"/>
          <w:kern w:val="0"/>
          <w14:ligatures w14:val="none"/>
        </w:rPr>
        <w:t xml:space="preserve"> 987 F.2d 580</w:t>
      </w:r>
      <w:r w:rsidRPr="00845725">
        <w:rPr>
          <w:rFonts w:ascii="Times New Roman" w:eastAsia="Calibri" w:hAnsi="Times New Roman" w:cs="Times New Roman"/>
          <w:i/>
          <w:iCs/>
          <w:kern w:val="0"/>
          <w14:ligatures w14:val="none"/>
        </w:rPr>
        <w:t xml:space="preserve"> </w:t>
      </w:r>
      <w:r w:rsidRPr="00845725">
        <w:rPr>
          <w:rFonts w:ascii="Times New Roman" w:eastAsia="Calibri" w:hAnsi="Times New Roman" w:cs="Times New Roman"/>
          <w:kern w:val="0"/>
          <w14:ligatures w14:val="none"/>
        </w:rPr>
        <w:t xml:space="preserve">(9th Cir. 1993); </w:t>
      </w:r>
      <w:r w:rsidRPr="00845725">
        <w:rPr>
          <w:rFonts w:ascii="Times New Roman" w:eastAsia="Calibri" w:hAnsi="Times New Roman" w:cs="Times New Roman"/>
          <w:i/>
          <w:iCs/>
          <w:kern w:val="0"/>
          <w14:ligatures w14:val="none"/>
        </w:rPr>
        <w:t>Aquarian Found., Inc. v. Lowndes</w:t>
      </w:r>
      <w:r w:rsidRPr="00845725">
        <w:rPr>
          <w:rFonts w:ascii="Times New Roman" w:eastAsia="Calibri" w:hAnsi="Times New Roman" w:cs="Times New Roman"/>
          <w:kern w:val="0"/>
          <w14:ligatures w14:val="none"/>
        </w:rPr>
        <w:t>, 127 F.4th 814, 822-23 (9th Cir. 2025) (explaining that because the Copyright Act’s “Conditions of Termination” do not apply to </w:t>
      </w:r>
      <w:r w:rsidRPr="00845725">
        <w:rPr>
          <w:rFonts w:ascii="Times New Roman" w:eastAsia="Calibri" w:hAnsi="Times New Roman" w:cs="Times New Roman"/>
          <w:i/>
          <w:iCs/>
          <w:kern w:val="0"/>
          <w14:ligatures w14:val="none"/>
        </w:rPr>
        <w:t>non-statutory</w:t>
      </w:r>
      <w:r w:rsidRPr="00845725">
        <w:rPr>
          <w:rFonts w:ascii="Times New Roman" w:eastAsia="Calibri" w:hAnsi="Times New Roman" w:cs="Times New Roman"/>
          <w:kern w:val="0"/>
          <w14:ligatures w14:val="none"/>
        </w:rPr>
        <w:t> heirs, the court must turn to state law to fill the gaps for termination of a licensing agreement).</w:t>
      </w:r>
    </w:p>
    <w:p w14:paraId="115A1055" w14:textId="77777777" w:rsidR="00FD433C" w:rsidRPr="00845725" w:rsidRDefault="00FD433C" w:rsidP="00FD433C">
      <w:pPr>
        <w:spacing w:after="0" w:line="240" w:lineRule="auto"/>
        <w:rPr>
          <w:rFonts w:ascii="Times New Roman" w:eastAsia="Calibri" w:hAnsi="Times New Roman" w:cs="Times New Roman"/>
          <w:kern w:val="0"/>
          <w14:ligatures w14:val="none"/>
        </w:rPr>
      </w:pPr>
    </w:p>
    <w:p w14:paraId="473147C6"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Regarding nonexclusive licenses,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smallCaps/>
          <w:kern w:val="0"/>
          <w14:ligatures w14:val="none"/>
        </w:rPr>
        <w:t>Nimmer</w:t>
      </w:r>
      <w:r w:rsidRPr="00845725">
        <w:rPr>
          <w:rFonts w:ascii="Times New Roman" w:eastAsia="Calibri" w:hAnsi="Times New Roman" w:cs="Times New Roman"/>
          <w:kern w:val="0"/>
          <w14:ligatures w14:val="none"/>
        </w:rPr>
        <w:t xml:space="preserve"> §§ 10.03[A][7] and 10.03[B][1].  Nonexclusive licenses differ in many respects from exclusive licenses and raise several unique issues. For example, a nonexclusive license need not be in writing, </w:t>
      </w:r>
      <w:r w:rsidRPr="00845725">
        <w:rPr>
          <w:rFonts w:ascii="Times New Roman" w:eastAsia="Calibri" w:hAnsi="Times New Roman" w:cs="Times New Roman"/>
          <w:i/>
          <w:iCs/>
          <w:kern w:val="0"/>
          <w14:ligatures w14:val="none"/>
        </w:rPr>
        <w:t>see Cohen</w:t>
      </w:r>
      <w:r w:rsidRPr="00845725">
        <w:rPr>
          <w:rFonts w:ascii="Times New Roman" w:eastAsia="Calibri" w:hAnsi="Times New Roman" w:cs="Times New Roman"/>
          <w:kern w:val="0"/>
          <w14:ligatures w14:val="none"/>
        </w:rPr>
        <w:t xml:space="preserve">, 908 F.2d at 558, and a nonexclusive </w:t>
      </w:r>
      <w:proofErr w:type="spellStart"/>
      <w:r w:rsidRPr="00845725">
        <w:rPr>
          <w:rFonts w:ascii="Times New Roman" w:eastAsia="Calibri" w:hAnsi="Times New Roman" w:cs="Times New Roman"/>
          <w:kern w:val="0"/>
          <w14:ligatures w14:val="none"/>
        </w:rPr>
        <w:t>licensee</w:t>
      </w:r>
      <w:proofErr w:type="spellEnd"/>
      <w:r w:rsidRPr="00845725">
        <w:rPr>
          <w:rFonts w:ascii="Times New Roman" w:eastAsia="Calibri" w:hAnsi="Times New Roman" w:cs="Times New Roman"/>
          <w:kern w:val="0"/>
          <w14:ligatures w14:val="none"/>
        </w:rPr>
        <w:t xml:space="preserve"> cannot bring suit to enforce a copyright,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 xml:space="preserve"> </w:t>
      </w:r>
      <w:proofErr w:type="spellStart"/>
      <w:r w:rsidRPr="00845725">
        <w:rPr>
          <w:rFonts w:ascii="Times New Roman" w:eastAsia="Calibri" w:hAnsi="Times New Roman" w:cs="Times New Roman"/>
          <w:i/>
          <w:iCs/>
          <w:kern w:val="0"/>
          <w14:ligatures w14:val="none"/>
        </w:rPr>
        <w:t>Righthaven</w:t>
      </w:r>
      <w:proofErr w:type="spellEnd"/>
      <w:r w:rsidRPr="00845725">
        <w:rPr>
          <w:rFonts w:ascii="Times New Roman" w:eastAsia="Calibri" w:hAnsi="Times New Roman" w:cs="Times New Roman"/>
          <w:i/>
          <w:iCs/>
          <w:kern w:val="0"/>
          <w14:ligatures w14:val="none"/>
        </w:rPr>
        <w:t xml:space="preserve"> LLC v. Hoehn</w:t>
      </w:r>
      <w:r w:rsidRPr="00845725">
        <w:rPr>
          <w:rFonts w:ascii="Times New Roman" w:eastAsia="Calibri" w:hAnsi="Times New Roman" w:cs="Times New Roman"/>
          <w:kern w:val="0"/>
          <w14:ligatures w14:val="none"/>
        </w:rPr>
        <w:t xml:space="preserve">, 716 F.3d 1166, 1171-72 (9th Cir. 2013) (holding that nonexclusive </w:t>
      </w:r>
      <w:proofErr w:type="spellStart"/>
      <w:r w:rsidRPr="00845725">
        <w:rPr>
          <w:rFonts w:ascii="Times New Roman" w:eastAsia="Calibri" w:hAnsi="Times New Roman" w:cs="Times New Roman"/>
          <w:kern w:val="0"/>
          <w14:ligatures w14:val="none"/>
        </w:rPr>
        <w:t>licensee</w:t>
      </w:r>
      <w:proofErr w:type="spellEnd"/>
      <w:r w:rsidRPr="00845725">
        <w:rPr>
          <w:rFonts w:ascii="Times New Roman" w:eastAsia="Calibri" w:hAnsi="Times New Roman" w:cs="Times New Roman"/>
          <w:kern w:val="0"/>
          <w14:ligatures w14:val="none"/>
        </w:rPr>
        <w:t xml:space="preserve"> did not have standing to sue for copyright infringement); </w:t>
      </w:r>
      <w:proofErr w:type="spellStart"/>
      <w:r w:rsidRPr="00845725">
        <w:rPr>
          <w:rFonts w:ascii="Times New Roman" w:eastAsia="Calibri" w:hAnsi="Times New Roman" w:cs="Times New Roman"/>
          <w:i/>
          <w:iCs/>
          <w:kern w:val="0"/>
          <w14:ligatures w14:val="none"/>
        </w:rPr>
        <w:t>Supersound</w:t>
      </w:r>
      <w:proofErr w:type="spellEnd"/>
      <w:r w:rsidRPr="00845725">
        <w:rPr>
          <w:rFonts w:ascii="Times New Roman" w:eastAsia="Calibri" w:hAnsi="Times New Roman" w:cs="Times New Roman"/>
          <w:i/>
          <w:iCs/>
          <w:kern w:val="0"/>
          <w14:ligatures w14:val="none"/>
        </w:rPr>
        <w:t xml:space="preserve"> Recordings, Inc. v. UAV Corp.</w:t>
      </w:r>
      <w:r w:rsidRPr="00845725">
        <w:rPr>
          <w:rFonts w:ascii="Times New Roman" w:eastAsia="Calibri" w:hAnsi="Times New Roman" w:cs="Times New Roman"/>
          <w:kern w:val="0"/>
          <w14:ligatures w14:val="none"/>
        </w:rPr>
        <w:t xml:space="preserve">, 517 F.3d 1137, 1144 (9th Cir. 2008) (same); </w:t>
      </w:r>
      <w:r w:rsidRPr="00845725">
        <w:rPr>
          <w:rFonts w:ascii="Times New Roman" w:eastAsia="Calibri" w:hAnsi="Times New Roman" w:cs="Times New Roman"/>
          <w:i/>
          <w:iCs/>
          <w:kern w:val="0"/>
          <w14:ligatures w14:val="none"/>
        </w:rPr>
        <w:t>see also</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smallCaps/>
          <w:kern w:val="0"/>
          <w14:ligatures w14:val="none"/>
        </w:rPr>
        <w:t>Nimmer</w:t>
      </w:r>
      <w:r w:rsidRPr="00845725">
        <w:rPr>
          <w:rFonts w:ascii="Times New Roman" w:eastAsia="Calibri" w:hAnsi="Times New Roman" w:cs="Times New Roman"/>
          <w:kern w:val="0"/>
          <w14:ligatures w14:val="none"/>
        </w:rPr>
        <w:t xml:space="preserve"> § 10.03[B][1]. Further, a “copyright owner who grants a nonexclusive license to use his copyrighted material waives his right to sue the licensee for copyright infringement and can only sue for breach of contract.” </w:t>
      </w:r>
      <w:r w:rsidRPr="00845725">
        <w:rPr>
          <w:rFonts w:ascii="Times New Roman" w:eastAsia="Calibri" w:hAnsi="Times New Roman" w:cs="Times New Roman"/>
          <w:i/>
          <w:iCs/>
          <w:kern w:val="0"/>
          <w14:ligatures w14:val="none"/>
        </w:rPr>
        <w:t>Sun Microsystems, Inc. v. Microsoft Corp.</w:t>
      </w:r>
      <w:r w:rsidRPr="00845725">
        <w:rPr>
          <w:rFonts w:ascii="Times New Roman" w:eastAsia="Calibri" w:hAnsi="Times New Roman" w:cs="Times New Roman"/>
          <w:kern w:val="0"/>
          <w14:ligatures w14:val="none"/>
        </w:rPr>
        <w:t>, 188 F.3d 1115, 1121 (9th Cir. 1999),</w:t>
      </w:r>
      <w:r w:rsidRPr="00845725">
        <w:rPr>
          <w:rFonts w:ascii="Times New Roman" w:eastAsia="Calibri" w:hAnsi="Times New Roman" w:cs="Times New Roman"/>
          <w:i/>
          <w:iCs/>
          <w:kern w:val="0"/>
          <w14:ligatures w14:val="none"/>
        </w:rPr>
        <w:t xml:space="preserve"> implied overruling on other grounds recognized by Perfect 10, Inc. v. Google, Inc</w:t>
      </w:r>
      <w:r w:rsidRPr="00845725">
        <w:rPr>
          <w:rFonts w:ascii="Times New Roman" w:eastAsia="Calibri" w:hAnsi="Times New Roman" w:cs="Times New Roman"/>
          <w:kern w:val="0"/>
          <w14:ligatures w14:val="none"/>
        </w:rPr>
        <w:t xml:space="preserve">., 653 F.3d 976, 979 (9th Cir. 2011). “If, however, a license is limited in scope and the licensee acts outside the scope, the licensor can bring an action for copyright infringement.” </w:t>
      </w:r>
      <w:r w:rsidRPr="00845725">
        <w:rPr>
          <w:rFonts w:ascii="Times New Roman" w:eastAsia="Calibri" w:hAnsi="Times New Roman" w:cs="Times New Roman"/>
          <w:i/>
          <w:iCs/>
          <w:kern w:val="0"/>
          <w14:ligatures w14:val="none"/>
        </w:rPr>
        <w:t>Id.</w:t>
      </w:r>
      <w:r w:rsidRPr="00845725">
        <w:rPr>
          <w:rFonts w:ascii="Times New Roman" w:eastAsia="Calibri" w:hAnsi="Times New Roman" w:cs="Times New Roman"/>
          <w:kern w:val="0"/>
          <w14:ligatures w14:val="none"/>
        </w:rPr>
        <w:t xml:space="preserve">  </w:t>
      </w:r>
    </w:p>
    <w:p w14:paraId="489B47ED" w14:textId="77777777" w:rsidR="00FD433C" w:rsidRPr="00845725" w:rsidRDefault="00FD433C" w:rsidP="00FD433C">
      <w:pPr>
        <w:spacing w:after="0" w:line="240" w:lineRule="auto"/>
        <w:ind w:firstLine="720"/>
        <w:rPr>
          <w:rFonts w:ascii="Times New Roman" w:eastAsia="Calibri" w:hAnsi="Times New Roman" w:cs="Times New Roman"/>
          <w:kern w:val="0"/>
          <w14:ligatures w14:val="none"/>
        </w:rPr>
      </w:pPr>
    </w:p>
    <w:p w14:paraId="081B2CE4" w14:textId="28B8D363" w:rsidR="00FD433C" w:rsidRDefault="00FD433C" w:rsidP="00FD433C">
      <w:pPr>
        <w:jc w:val="right"/>
      </w:pPr>
      <w:r w:rsidRPr="00845725">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w:t>
      </w:r>
      <w:r w:rsidRPr="00845725">
        <w:rPr>
          <w:rFonts w:ascii="Times New Roman" w:eastAsia="Calibri" w:hAnsi="Times New Roman" w:cs="Times New Roman"/>
          <w:i/>
          <w:iCs/>
          <w:kern w:val="0"/>
          <w14:ligatures w14:val="none"/>
        </w:rPr>
        <w:t xml:space="preserve"> 2025</w:t>
      </w:r>
    </w:p>
    <w:sectPr w:rsidR="00FD4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94976"/>
      <w:docPartObj>
        <w:docPartGallery w:val="Page Numbers (Bottom of Page)"/>
        <w:docPartUnique/>
      </w:docPartObj>
    </w:sdtPr>
    <w:sdtEndPr>
      <w:rPr>
        <w:noProof/>
      </w:rPr>
    </w:sdtEndPr>
    <w:sdtContent>
      <w:p w14:paraId="49EE9973" w14:textId="77777777" w:rsidR="00FD433C" w:rsidRDefault="00FD433C">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6181BF85" w14:textId="77777777" w:rsidR="00FD433C" w:rsidRDefault="00FD433C">
    <w:pPr>
      <w:spacing w:line="19" w:lineRule="auto"/>
      <w:rPr>
        <w:i/>
        <w:iCs/>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3C"/>
    <w:rsid w:val="00920AE5"/>
    <w:rsid w:val="00FD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87C6"/>
  <w15:chartTrackingRefBased/>
  <w15:docId w15:val="{E215AF1D-0C5C-4A39-A9E3-1C186B97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3C"/>
  </w:style>
  <w:style w:type="paragraph" w:styleId="Heading1">
    <w:name w:val="heading 1"/>
    <w:basedOn w:val="Normal"/>
    <w:next w:val="Normal"/>
    <w:link w:val="Heading1Char"/>
    <w:uiPriority w:val="9"/>
    <w:qFormat/>
    <w:rsid w:val="00FD4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33C"/>
    <w:rPr>
      <w:rFonts w:eastAsiaTheme="majorEastAsia" w:cstheme="majorBidi"/>
      <w:color w:val="272727" w:themeColor="text1" w:themeTint="D8"/>
    </w:rPr>
  </w:style>
  <w:style w:type="paragraph" w:styleId="Title">
    <w:name w:val="Title"/>
    <w:basedOn w:val="Normal"/>
    <w:next w:val="Normal"/>
    <w:link w:val="TitleChar"/>
    <w:uiPriority w:val="10"/>
    <w:qFormat/>
    <w:rsid w:val="00FD4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33C"/>
    <w:pPr>
      <w:spacing w:before="160"/>
      <w:jc w:val="center"/>
    </w:pPr>
    <w:rPr>
      <w:i/>
      <w:iCs/>
      <w:color w:val="404040" w:themeColor="text1" w:themeTint="BF"/>
    </w:rPr>
  </w:style>
  <w:style w:type="character" w:customStyle="1" w:styleId="QuoteChar">
    <w:name w:val="Quote Char"/>
    <w:basedOn w:val="DefaultParagraphFont"/>
    <w:link w:val="Quote"/>
    <w:uiPriority w:val="29"/>
    <w:rsid w:val="00FD433C"/>
    <w:rPr>
      <w:i/>
      <w:iCs/>
      <w:color w:val="404040" w:themeColor="text1" w:themeTint="BF"/>
    </w:rPr>
  </w:style>
  <w:style w:type="paragraph" w:styleId="ListParagraph">
    <w:name w:val="List Paragraph"/>
    <w:basedOn w:val="Normal"/>
    <w:uiPriority w:val="34"/>
    <w:qFormat/>
    <w:rsid w:val="00FD433C"/>
    <w:pPr>
      <w:ind w:left="720"/>
      <w:contextualSpacing/>
    </w:pPr>
  </w:style>
  <w:style w:type="character" w:styleId="IntenseEmphasis">
    <w:name w:val="Intense Emphasis"/>
    <w:basedOn w:val="DefaultParagraphFont"/>
    <w:uiPriority w:val="21"/>
    <w:qFormat/>
    <w:rsid w:val="00FD433C"/>
    <w:rPr>
      <w:i/>
      <w:iCs/>
      <w:color w:val="0F4761" w:themeColor="accent1" w:themeShade="BF"/>
    </w:rPr>
  </w:style>
  <w:style w:type="paragraph" w:styleId="IntenseQuote">
    <w:name w:val="Intense Quote"/>
    <w:basedOn w:val="Normal"/>
    <w:next w:val="Normal"/>
    <w:link w:val="IntenseQuoteChar"/>
    <w:uiPriority w:val="30"/>
    <w:qFormat/>
    <w:rsid w:val="00FD4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33C"/>
    <w:rPr>
      <w:i/>
      <w:iCs/>
      <w:color w:val="0F4761" w:themeColor="accent1" w:themeShade="BF"/>
    </w:rPr>
  </w:style>
  <w:style w:type="character" w:styleId="IntenseReference">
    <w:name w:val="Intense Reference"/>
    <w:basedOn w:val="DefaultParagraphFont"/>
    <w:uiPriority w:val="32"/>
    <w:qFormat/>
    <w:rsid w:val="00FD433C"/>
    <w:rPr>
      <w:b/>
      <w:bCs/>
      <w:smallCaps/>
      <w:color w:val="0F4761" w:themeColor="accent1" w:themeShade="BF"/>
      <w:spacing w:val="5"/>
    </w:rPr>
  </w:style>
  <w:style w:type="paragraph" w:styleId="Footer">
    <w:name w:val="footer"/>
    <w:basedOn w:val="Normal"/>
    <w:link w:val="FooterChar"/>
    <w:uiPriority w:val="99"/>
    <w:unhideWhenUsed/>
    <w:rsid w:val="00FD433C"/>
    <w:pPr>
      <w:tabs>
        <w:tab w:val="center" w:pos="4680"/>
        <w:tab w:val="right" w:pos="9360"/>
      </w:tabs>
      <w:spacing w:after="0" w:line="240" w:lineRule="auto"/>
    </w:pPr>
    <w:rPr>
      <w:rFonts w:ascii="Times New Roman" w:hAnsi="Times New Roman"/>
      <w:kern w:val="0"/>
      <w:szCs w:val="22"/>
      <w14:ligatures w14:val="none"/>
    </w:rPr>
  </w:style>
  <w:style w:type="character" w:customStyle="1" w:styleId="FooterChar">
    <w:name w:val="Footer Char"/>
    <w:basedOn w:val="DefaultParagraphFont"/>
    <w:link w:val="Footer"/>
    <w:uiPriority w:val="99"/>
    <w:rsid w:val="00FD433C"/>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4656</Characters>
  <Application>Microsoft Office Word</Application>
  <DocSecurity>0</DocSecurity>
  <Lines>38</Lines>
  <Paragraphs>10</Paragraphs>
  <ScaleCrop>false</ScaleCrop>
  <Company>United States Courts</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2025-11-10T05:45:00Z</dcterms:created>
  <dcterms:modified xsi:type="dcterms:W3CDTF">2025-11-10T05:57:00Z</dcterms:modified>
</cp:coreProperties>
</file>