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87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196481945"/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17.15 Copyright Interests—Derivative Work</w:t>
      </w:r>
      <w:bookmarkEnd w:id="0"/>
    </w:p>
    <w:p w14:paraId="04E01624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(17 U.S.C. §§ 101, 106(2))</w:t>
      </w:r>
    </w:p>
    <w:p w14:paraId="23BE276A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0FADA29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A work is a derivative work if it [recasts,] [transforms,] or [adapts] a preexisting work. The owner of a copyright may exclude others from creating derivative works based on the</w:t>
      </w:r>
    </w:p>
    <w:p w14:paraId="429029C4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owner’s copyrighted work. If the owner allows others to create a derivative work based on the preexisting work, the owner retains a copyright in any elements of a derivative work that are [copied] [derived from] the preexisting work. The owner of a copyright in the preexisting work may enforce the right to exclude others from copying elements of the derivative work that were themselves [copied] [derived from] the preexisting work.</w:t>
      </w:r>
    </w:p>
    <w:p w14:paraId="2F9F19FF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B524A8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The creator of a derivative work may own a copyright in the original aspects of the work that the creator contributed, such as editorial revisions, annotations, elaborations, or other modifications to the pre-existing work, so long as the creator of the derivative work lawfully used the preexisting </w:t>
      </w:r>
      <w:proofErr w:type="gramStart"/>
      <w:r w:rsidRPr="00845725">
        <w:rPr>
          <w:rFonts w:ascii="Times New Roman" w:eastAsia="Calibri" w:hAnsi="Times New Roman" w:cs="Times New Roman"/>
          <w:kern w:val="0"/>
          <w14:ligatures w14:val="none"/>
        </w:rPr>
        <w:t>work</w:t>
      </w:r>
      <w:proofErr w:type="gramEnd"/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and the contributions are more than trivial. The creator of a derivative work that lawfully used the preexisting work may enforce the right to exclude others from copying the original aspects of the derivative work.</w:t>
      </w:r>
    </w:p>
    <w:p w14:paraId="114BEC6B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28B97EDE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You may find that the derivative work is copyrightable if:</w:t>
      </w:r>
    </w:p>
    <w:p w14:paraId="6F44D4C0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3EA2BC3E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First, the preexisting work is copyrightable or was copyrightable at the time it was </w:t>
      </w:r>
      <w:proofErr w:type="gramStart"/>
      <w:r w:rsidRPr="00845725">
        <w:rPr>
          <w:rFonts w:ascii="Times New Roman" w:eastAsia="Calibri" w:hAnsi="Times New Roman" w:cs="Times New Roman"/>
          <w:kern w:val="0"/>
          <w14:ligatures w14:val="none"/>
        </w:rPr>
        <w:t>created;</w:t>
      </w:r>
      <w:proofErr w:type="gramEnd"/>
    </w:p>
    <w:p w14:paraId="041C5EFC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4F748F76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Second, the derivative work lawfully uses the preexisting </w:t>
      </w:r>
      <w:proofErr w:type="gramStart"/>
      <w:r w:rsidRPr="00845725">
        <w:rPr>
          <w:rFonts w:ascii="Times New Roman" w:eastAsia="Calibri" w:hAnsi="Times New Roman" w:cs="Times New Roman"/>
          <w:kern w:val="0"/>
          <w14:ligatures w14:val="none"/>
        </w:rPr>
        <w:t>work;</w:t>
      </w:r>
      <w:proofErr w:type="gramEnd"/>
    </w:p>
    <w:p w14:paraId="45B07842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1E026661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Third, the derivative work includes new material that is independent of the preexisting work and is itself copyrightable; and</w:t>
      </w:r>
    </w:p>
    <w:p w14:paraId="5D1E4804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6DBDA4CE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Fourth, the derivative work’s new material is not so minimal as to be trivial, such that a copyright in the derivative work could prevent the owner of the copyright in the preexisting work from exercising a right under copyright law.</w:t>
      </w:r>
    </w:p>
    <w:p w14:paraId="1F686D7F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043D61F4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A [work] [material] is copyrightable if it is an original work of authorship fixed in any tangible medium of expression.</w:t>
      </w:r>
    </w:p>
    <w:p w14:paraId="41E385B0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8C85AE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A derivative work lawfully uses preexisting material if either the copyright holder of the preexisting material authorized the use or the material has entered the public domain</w:t>
      </w:r>
      <w:r w:rsidRPr="000E4371">
        <w:rPr>
          <w:rFonts w:ascii="Times New Roman" w:eastAsia="Calibri" w:hAnsi="Times New Roman" w:cs="Times New Roman"/>
          <w:kern w:val="0"/>
          <w14:ligatures w14:val="none"/>
        </w:rPr>
        <w:t>, or the use is excused under an affirmative defense, such as fair use, that I will describe below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9F14EC2" w14:textId="77777777" w:rsidR="00805DEF" w:rsidRPr="00845725" w:rsidRDefault="00805DEF" w:rsidP="00805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74D8D" w14:textId="77777777" w:rsidR="00805DEF" w:rsidRPr="00845725" w:rsidRDefault="00805DEF" w:rsidP="00805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45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</w:t>
      </w:r>
    </w:p>
    <w:p w14:paraId="0B171BB4" w14:textId="77777777" w:rsidR="00805DEF" w:rsidRPr="00845725" w:rsidRDefault="00805DEF" w:rsidP="00805DEF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</w:pPr>
      <w:r w:rsidRPr="008457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copyright owner has the exclusive right to prohibit or authorize the preparation of derivative works. 17 U.S.C. § 106(2). 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preexisting work on which the derivative work is based must be copyrightable. </w:t>
      </w:r>
      <w:proofErr w:type="spellStart"/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Ets-Hokin</w:t>
      </w:r>
      <w:proofErr w:type="spellEnd"/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 v. Skyy Spirits, Inc.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225 F.3d 1068, 1078 (9th Cir. 2000). Works that incorporate uncopyrightable preexisting material are not treated as derivative works, but they may be entitled to copyright protection as original works. </w:t>
      </w:r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Id.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at 1077; </w:t>
      </w:r>
      <w:bookmarkStart w:id="1" w:name="_Hlk202334859"/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see, e.g.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Georgia v. Public.Resource.Org, Inc.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590 U.S. 255, 269 (2020) (explaining that annotations to 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cases or statutes “are copyrightable when prepared by a private party, or a non-lawmaking official like the reporter in </w:t>
      </w:r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Callaghan 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>[</w:t>
      </w:r>
      <w:r w:rsidRPr="000E4371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v. Myers</w:t>
      </w:r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>, 128 U.S. 617 (1888)]”)</w:t>
      </w:r>
      <w:bookmarkEnd w:id="1"/>
      <w:r w:rsidRPr="000E437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Pr="008457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derivative work must actually incorporate the copyrighted work, either literally or nonliterally. </w:t>
      </w:r>
      <w:r w:rsidRPr="00845725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Oracle Int’l Corp. v. Rimini St., Inc</w:t>
      </w:r>
      <w:r w:rsidRPr="008457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., 123 F.4th 986, 996 (9th Cir. 2024). In </w:t>
      </w:r>
      <w:r w:rsidRPr="00845725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Oracle</w:t>
      </w:r>
      <w:r w:rsidRPr="008457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the court rejected an “interoperability” 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>test for derivative works</w:t>
      </w:r>
      <w:r w:rsidRPr="000E4371">
        <w:rPr>
          <w:rFonts w:ascii="Times New Roman" w:eastAsia="Times New Roman" w:hAnsi="Times New Roman" w:cs="Times New Roman"/>
          <w:kern w:val="0"/>
          <w14:ligatures w14:val="none"/>
        </w:rPr>
        <w:t>, which would have deemed a product to be a derivative work if the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 product interoperate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 with a preexisting copyrighted </w:t>
      </w:r>
      <w:proofErr w:type="gramStart"/>
      <w:r w:rsidRPr="00845725">
        <w:rPr>
          <w:rFonts w:ascii="Times New Roman" w:eastAsia="Times New Roman" w:hAnsi="Times New Roman" w:cs="Times New Roman"/>
          <w:kern w:val="0"/>
          <w14:ligatures w14:val="none"/>
        </w:rPr>
        <w:t>work,.</w:t>
      </w:r>
      <w:proofErr w:type="gramEnd"/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45725">
        <w:rPr>
          <w:rFonts w:ascii="Times New Roman" w:eastAsia="Times New Roman" w:hAnsi="Times New Roman" w:cs="Times New Roman"/>
          <w:bCs/>
          <w:kern w:val="0"/>
          <w14:ligatures w14:val="none"/>
        </w:rPr>
        <w:t>“Both the text of the Copyright Act and [Ninth Circuit] case law teach that derivative status does not turn on interoperability, even exclusive interoperability, if the work doesn’t substantially incorporate the preexisting work’s copyrighted material.”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45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Id. 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“[A] derivative work must actually incorporate [the] copyrighted work, either literally or nonliterally . . . </w:t>
      </w:r>
      <w:r>
        <w:rPr>
          <w:rFonts w:ascii="Times New Roman" w:eastAsia="Times New Roman" w:hAnsi="Times New Roman" w:cs="Times New Roman"/>
          <w:kern w:val="0"/>
          <w14:ligatures w14:val="none"/>
        </w:rPr>
        <w:t>[S]</w:t>
      </w:r>
      <w:r w:rsidRPr="00845725">
        <w:rPr>
          <w:rFonts w:ascii="Times New Roman" w:eastAsia="Times New Roman" w:hAnsi="Times New Roman" w:cs="Times New Roman"/>
          <w:kern w:val="0"/>
          <w14:ligatures w14:val="none"/>
        </w:rPr>
        <w:t xml:space="preserve">imply being an extension or modification of a copyrighted work without any incorporation is not enough to create a derivative work.” </w:t>
      </w:r>
      <w:r w:rsidRPr="00845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Id.</w:t>
      </w:r>
    </w:p>
    <w:p w14:paraId="0B198465" w14:textId="498EEF84" w:rsidR="00805DEF" w:rsidRPr="00805DEF" w:rsidRDefault="00805DEF" w:rsidP="00805DE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5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Revised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September </w:t>
      </w:r>
      <w:r w:rsidRPr="00845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2025</w:t>
      </w:r>
    </w:p>
    <w:sectPr w:rsidR="00805DEF" w:rsidRPr="0080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EF"/>
    <w:rsid w:val="00805DEF"/>
    <w:rsid w:val="009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20E"/>
  <w15:chartTrackingRefBased/>
  <w15:docId w15:val="{AAA0597E-5753-4CAB-ACCC-493F87BD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EF"/>
  </w:style>
  <w:style w:type="paragraph" w:styleId="Heading1">
    <w:name w:val="heading 1"/>
    <w:basedOn w:val="Normal"/>
    <w:next w:val="Normal"/>
    <w:link w:val="Heading1Char"/>
    <w:uiPriority w:val="9"/>
    <w:qFormat/>
    <w:rsid w:val="0080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>United States Courts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2025-11-10T05:45:00Z</dcterms:created>
  <dcterms:modified xsi:type="dcterms:W3CDTF">2025-11-10T05:58:00Z</dcterms:modified>
</cp:coreProperties>
</file>