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BE5F" w14:textId="79B2F850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2D04DF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begin"/>
      </w:r>
      <w:r w:rsidRPr="002D04DF">
        <w:rPr>
          <w:rFonts w:ascii="Times New Roman" w:hAnsi="Times New Roman" w:cs="Times New Roman"/>
          <w:kern w:val="0"/>
          <w:sz w:val="24"/>
          <w:szCs w:val="24"/>
          <w:lang w:val="en-CA"/>
        </w:rPr>
        <w:instrText xml:space="preserve"> SEQ CHAPTER \h \r 1</w:instrText>
      </w:r>
      <w:r w:rsidRPr="002D04DF">
        <w:rPr>
          <w:rFonts w:ascii="Times New Roman" w:hAnsi="Times New Roman" w:cs="Times New Roman"/>
          <w:kern w:val="0"/>
          <w:sz w:val="24"/>
          <w:szCs w:val="24"/>
          <w:lang w:val="en-CA"/>
        </w:rPr>
        <w:fldChar w:fldCharType="end"/>
      </w:r>
      <w:r w:rsidR="001809AD" w:rsidRPr="002D04DF">
        <w:rPr>
          <w:rFonts w:ascii="Times New Roman" w:hAnsi="Times New Roman" w:cs="Times New Roman"/>
          <w:b/>
          <w:bCs/>
          <w:kern w:val="0"/>
          <w:sz w:val="24"/>
          <w:szCs w:val="24"/>
        </w:rPr>
        <w:t>17.18 Copyright</w:t>
      </w:r>
      <w:r w:rsidRPr="002D04DF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Infringement—Copying—Access Defined</w:t>
      </w:r>
    </w:p>
    <w:p w14:paraId="613D0E56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E5BF28C" w14:textId="3256FE5D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04DF">
        <w:rPr>
          <w:rFonts w:ascii="Times New Roman" w:hAnsi="Times New Roman" w:cs="Times New Roman"/>
          <w:kern w:val="0"/>
          <w:sz w:val="24"/>
          <w:szCs w:val="24"/>
        </w:rPr>
        <w:tab/>
        <w:t>[As part of its burden in Instruction [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  <w:u w:val="single"/>
        </w:rPr>
        <w:t>insert cross reference to the pertinent instruction e.g., Instruction 17.5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>], the plaintiff must prove by a preponderance of the evidence that [the defendant] [whoever created the work owned by the defendant] had access to the plaintiff’s work.]  You may find that the defendant had access to the plaintiff’s work if [the defendant] [whoever created the work owned by the defendant] had a reasonable opportunity to [view] [read] [hear] [copy] the plaintiff’s work before the defendant’s work was created.</w:t>
      </w:r>
    </w:p>
    <w:p w14:paraId="2874E7FC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7F48398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2D04DF">
        <w:rPr>
          <w:rFonts w:ascii="Times New Roman" w:hAnsi="Times New Roman" w:cs="Times New Roman"/>
          <w:b/>
          <w:bCs/>
          <w:kern w:val="0"/>
          <w:sz w:val="24"/>
          <w:szCs w:val="24"/>
        </w:rPr>
        <w:t>Comment</w:t>
      </w:r>
    </w:p>
    <w:p w14:paraId="6A6917E9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CC7409A" w14:textId="4E68FBB1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04DF">
        <w:rPr>
          <w:rFonts w:ascii="Times New Roman" w:hAnsi="Times New Roman" w:cs="Times New Roman"/>
          <w:kern w:val="0"/>
          <w:sz w:val="24"/>
          <w:szCs w:val="24"/>
        </w:rPr>
        <w:tab/>
        <w:t xml:space="preserve">Proof of access requires “an opportunity to view or to copy plaintiff’s work.”  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Sid &amp; Marty </w:t>
      </w:r>
      <w:proofErr w:type="spellStart"/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>Krofft</w:t>
      </w:r>
      <w:proofErr w:type="spellEnd"/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Television Prods., Inc. v. McDonald’s Corp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>., 562 F.2d 1157, 1172 (9th Cir. 1977</w:t>
      </w:r>
      <w:proofErr w:type="gramStart"/>
      <w:r w:rsidRPr="002D04DF">
        <w:rPr>
          <w:rFonts w:ascii="Times New Roman" w:hAnsi="Times New Roman" w:cs="Times New Roman"/>
          <w:kern w:val="0"/>
          <w:sz w:val="24"/>
          <w:szCs w:val="24"/>
        </w:rPr>
        <w:t xml:space="preserve">);  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>see</w:t>
      </w:r>
      <w:proofErr w:type="gramEnd"/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also Art Attacks Ink, LLC v. MGA Ent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Inc.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 xml:space="preserve">, 581 F.3d 1138, 1143 (9th Cir. 2009) (requiring “a reasonable possibility, not merely a bare possibility”); 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>Three Boys Music Corp. v. Bolton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>, 212 F.3d 477, 482 (9th Cir. 2000) (same),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>overruled on other grounds by Skidmore v. Led Zeppelin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>, 952 F.3d 1051, 1064 (9th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>Cir. 2020) (</w:t>
      </w:r>
      <w:proofErr w:type="spellStart"/>
      <w:r w:rsidRPr="002D04DF">
        <w:rPr>
          <w:rFonts w:ascii="Times New Roman" w:hAnsi="Times New Roman" w:cs="Times New Roman"/>
          <w:kern w:val="0"/>
          <w:sz w:val="24"/>
          <w:szCs w:val="24"/>
        </w:rPr>
        <w:t>en</w:t>
      </w:r>
      <w:proofErr w:type="spellEnd"/>
      <w:r w:rsidRPr="002D04DF">
        <w:rPr>
          <w:rFonts w:ascii="Times New Roman" w:hAnsi="Times New Roman" w:cs="Times New Roman"/>
          <w:kern w:val="0"/>
          <w:sz w:val="24"/>
          <w:szCs w:val="24"/>
        </w:rPr>
        <w:t xml:space="preserve"> banc)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</w:p>
    <w:p w14:paraId="6306308E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F81A4E7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D04DF">
        <w:rPr>
          <w:rFonts w:ascii="Times New Roman" w:hAnsi="Times New Roman" w:cs="Times New Roman"/>
          <w:b/>
          <w:bCs/>
          <w:kern w:val="0"/>
          <w:sz w:val="24"/>
          <w:szCs w:val="24"/>
        </w:rPr>
        <w:t>Supplemental Instruction</w:t>
      </w:r>
    </w:p>
    <w:p w14:paraId="2BA032A5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BC3C02E" w14:textId="6165D1FA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04DF">
        <w:rPr>
          <w:rFonts w:ascii="TimesNewRomanPSMT,Bold" w:hAnsi="TimesNewRomanPSMT,Bold" w:cs="TimesNewRomanPSMT,Bold"/>
          <w:b/>
          <w:bCs/>
          <w:color w:val="FF0000"/>
          <w:kern w:val="0"/>
          <w:sz w:val="28"/>
          <w:szCs w:val="28"/>
        </w:rPr>
        <w:t xml:space="preserve"> </w:t>
      </w:r>
      <w:r w:rsidRPr="002D04DF">
        <w:rPr>
          <w:rFonts w:ascii="Times New Roman" w:hAnsi="Times New Roman" w:cs="Times New Roman"/>
          <w:b/>
          <w:bCs/>
          <w:kern w:val="0"/>
          <w:sz w:val="24"/>
          <w:szCs w:val="24"/>
        </w:rPr>
        <w:t>[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If evidence offered at trial shows various ways of proving access, </w:t>
      </w:r>
      <w:proofErr w:type="spellStart"/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>addthe</w:t>
      </w:r>
      <w:proofErr w:type="spellEnd"/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following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at 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end 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>of th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e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instruction</w:t>
      </w:r>
      <w:r>
        <w:rPr>
          <w:rFonts w:ascii="Times New Roman" w:hAnsi="Times New Roman" w:cs="Times New Roman"/>
          <w:kern w:val="0"/>
          <w:sz w:val="24"/>
          <w:szCs w:val="24"/>
        </w:rPr>
        <w:t>.]</w:t>
      </w:r>
    </w:p>
    <w:p w14:paraId="5FB06F30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EA67369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04DF">
        <w:rPr>
          <w:rFonts w:ascii="Times New Roman" w:hAnsi="Times New Roman" w:cs="Times New Roman"/>
          <w:kern w:val="0"/>
          <w:sz w:val="24"/>
          <w:szCs w:val="24"/>
        </w:rPr>
        <w:tab/>
        <w:t>Access may be shown by:</w:t>
      </w:r>
    </w:p>
    <w:p w14:paraId="22A636FF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D98A2C9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2D04DF">
        <w:rPr>
          <w:rFonts w:ascii="Times New Roman" w:hAnsi="Times New Roman" w:cs="Times New Roman"/>
          <w:kern w:val="0"/>
          <w:sz w:val="24"/>
          <w:szCs w:val="24"/>
        </w:rPr>
        <w:t>[1.]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ab/>
        <w:t>[a chain of events connecting the plaintiff’s work and the defendant’s opportunity to [view] [hear] [copy] that work [such as dealings through a third party (such as a publisher or record company) that had access to the plaintiff’s work and with whom both the plaintiff and the defendant were dealing]] [or]</w:t>
      </w:r>
    </w:p>
    <w:p w14:paraId="43A9E42B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7A315B8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04DF">
        <w:rPr>
          <w:rFonts w:ascii="Times New Roman" w:hAnsi="Times New Roman" w:cs="Times New Roman"/>
          <w:kern w:val="0"/>
          <w:sz w:val="24"/>
          <w:szCs w:val="24"/>
        </w:rPr>
        <w:tab/>
        <w:t>[2.]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ab/>
        <w:t>[the plaintiff’s work being widely disseminated] [or]</w:t>
      </w:r>
    </w:p>
    <w:p w14:paraId="76851459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A6A98BC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kern w:val="0"/>
          <w:sz w:val="24"/>
          <w:szCs w:val="24"/>
        </w:rPr>
      </w:pPr>
      <w:r w:rsidRPr="002D04DF">
        <w:rPr>
          <w:rFonts w:ascii="Times New Roman" w:hAnsi="Times New Roman" w:cs="Times New Roman"/>
          <w:kern w:val="0"/>
          <w:sz w:val="24"/>
          <w:szCs w:val="24"/>
        </w:rPr>
        <w:t>[3.]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ab/>
        <w:t>[a similarity between the plaintiff’s work and the defendant’s work that is so “striking” that it is highly likely the works were not created independent of one another].</w:t>
      </w:r>
    </w:p>
    <w:p w14:paraId="16724E9F" w14:textId="77777777" w:rsid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FAFE9F8" w14:textId="3B7B4ADA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D04DF">
        <w:rPr>
          <w:rFonts w:ascii="Times New Roman" w:hAnsi="Times New Roman" w:cs="Times New Roman"/>
          <w:b/>
          <w:bCs/>
          <w:kern w:val="0"/>
          <w:sz w:val="24"/>
          <w:szCs w:val="24"/>
        </w:rPr>
        <w:t>Comment</w:t>
      </w:r>
    </w:p>
    <w:p w14:paraId="005E1F19" w14:textId="77777777" w:rsidR="002D04DF" w:rsidRPr="002D04DF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580D6C4" w14:textId="0C3EC9BF" w:rsidR="00A33CA0" w:rsidRDefault="002D04DF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D04DF">
        <w:rPr>
          <w:rFonts w:ascii="Times New Roman" w:hAnsi="Times New Roman" w:cs="Times New Roman"/>
          <w:kern w:val="0"/>
          <w:sz w:val="24"/>
          <w:szCs w:val="24"/>
        </w:rPr>
        <w:tab/>
        <w:t>“Where there is no direct evidence of access, circumstantial evidence can be used to prove access either by (1) establishing a chain of events linking the plaintiff’s work and the defendant’s access, or (2) showing that the plaintiff’s work has been widely disseminated.” (citation omitted)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Loomis v. Cornish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 xml:space="preserve">, 836 F.3d 991, 995 (9th Cir. 2016); 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>see also Three Boys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>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>212 F.3d at 482 (holding that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>reasonable access can be shown by a chain of events connecting plaintiff’s work and defendant’s access or by plaintiff’s work being widely distributed</w:t>
      </w:r>
      <w:r>
        <w:rPr>
          <w:rFonts w:ascii="Times New Roman" w:hAnsi="Times New Roman" w:cs="Times New Roman"/>
          <w:kern w:val="0"/>
          <w:sz w:val="24"/>
          <w:szCs w:val="24"/>
        </w:rPr>
        <w:t>, and stating that the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 xml:space="preserve"> widespread dissemination approach is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often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 xml:space="preserve"> coupled with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 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>theory of “subconscious copying”</w:t>
      </w:r>
      <w:r>
        <w:rPr>
          <w:rFonts w:ascii="Times New Roman" w:hAnsi="Times New Roman" w:cs="Times New Roman"/>
          <w:kern w:val="0"/>
          <w:sz w:val="24"/>
          <w:szCs w:val="24"/>
        </w:rPr>
        <w:t>);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>Art Attacks Ink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 xml:space="preserve"> 581 F.3d at 1143-45 (finding no access shown under 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chain of events or wide dissemination theories); 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Kamar Int’l, Inc. v. Russ </w:t>
      </w:r>
      <w:proofErr w:type="spellStart"/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>Berrie</w:t>
      </w:r>
      <w:proofErr w:type="spellEnd"/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&amp; Co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 xml:space="preserve">., 657 F.2d 1059 (9th Cir. 1981) (finding access shown by dealings between parties and third party on chain of events theory relating to same subject matter). </w:t>
      </w:r>
    </w:p>
    <w:p w14:paraId="3B630106" w14:textId="77777777" w:rsidR="00F4667B" w:rsidRPr="002D04DF" w:rsidRDefault="00F4667B" w:rsidP="002D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D072D4D" w14:textId="21B68704" w:rsidR="002D04DF" w:rsidRDefault="00A33CA0" w:rsidP="00A33C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  <w:r w:rsidRPr="00A33CA0">
        <w:rPr>
          <w:rFonts w:ascii="Times New Roman" w:hAnsi="Times New Roman" w:cs="Times New Roman"/>
          <w:kern w:val="0"/>
          <w:sz w:val="24"/>
          <w:szCs w:val="24"/>
        </w:rPr>
        <w:t>As to widespread dissemination, the plaintiff may show “the degree of 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work's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commercial success and on its distribution through . . . relevant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mediums.” </w:t>
      </w:r>
      <w:r w:rsidRPr="00A33CA0">
        <w:rPr>
          <w:rFonts w:ascii="Times New Roman" w:hAnsi="Times New Roman" w:cs="Times New Roman"/>
          <w:i/>
          <w:iCs/>
          <w:kern w:val="0"/>
          <w:sz w:val="24"/>
          <w:szCs w:val="24"/>
        </w:rPr>
        <w:t>Loomis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, 836 F.3d at 997; </w:t>
      </w:r>
      <w:r w:rsidRPr="00A33CA0">
        <w:rPr>
          <w:rFonts w:ascii="Times New Roman" w:hAnsi="Times New Roman" w:cs="Times New Roman"/>
          <w:i/>
          <w:iCs/>
          <w:kern w:val="0"/>
          <w:sz w:val="24"/>
          <w:szCs w:val="24"/>
        </w:rPr>
        <w:t>see also Three Boys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212 F.3d at 484-85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(holding that sufficient evidence supported the jury’s conclusion that plaintiffs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failed to prove widespread dissemination of their song when the protected song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“never topped the Billboard charts or even made the top 100 for a single week,”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“was not released on an album or compact disc until . . . after [defendants] wrote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their song,”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music experts “testified that they never heard” the protected song, and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defendants “produced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copies of ‘TV Guide’ from 1966 [the year the protected song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was released] suggesting that the television shows playing the song never aired in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Connecticut [where defendants lived at the time]”). In addition to raising an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inference of access due to widespread dissemination, the plaintiff can raise an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inference of access where the allegedly infringed work saturated a relevant market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in which both the plaintiff and the defendant participate. </w:t>
      </w:r>
      <w:r w:rsidRPr="00A33CA0">
        <w:rPr>
          <w:rFonts w:ascii="Times New Roman" w:hAnsi="Times New Roman" w:cs="Times New Roman"/>
          <w:i/>
          <w:iCs/>
          <w:kern w:val="0"/>
          <w:sz w:val="24"/>
          <w:szCs w:val="24"/>
        </w:rPr>
        <w:t>See Loomis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836 F.3d at</w:t>
      </w:r>
      <w:r w:rsidRPr="00A33CA0">
        <w:rPr>
          <w:rFonts w:ascii="TimesNewRomanPSMT" w:hAnsi="TimesNewRomanPSMT" w:cs="TimesNewRomanPSMT"/>
          <w:kern w:val="0"/>
          <w:sz w:val="28"/>
          <w:szCs w:val="28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997; </w:t>
      </w:r>
      <w:r w:rsidRPr="00A33C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L.A. </w:t>
      </w:r>
      <w:proofErr w:type="spellStart"/>
      <w:r w:rsidRPr="00A33CA0">
        <w:rPr>
          <w:rFonts w:ascii="Times New Roman" w:hAnsi="Times New Roman" w:cs="Times New Roman"/>
          <w:i/>
          <w:iCs/>
          <w:kern w:val="0"/>
          <w:sz w:val="24"/>
          <w:szCs w:val="24"/>
        </w:rPr>
        <w:t>Printex</w:t>
      </w:r>
      <w:proofErr w:type="spellEnd"/>
      <w:r w:rsidRPr="00A33CA0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Indus., Inc. v. Aeropostale, Inc.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676 F.3d 841, 848 (9th Cir.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2012) (holding that “there was a reasonable possibility that Defendants had an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opportunity to view and copy [the allegedly infringed] design” where plaintiff’s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fabric design “was widely disseminated in the Los Angeles-area fabric industry”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over a four-year period and the parties both operated in that market during that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period). The mere presence of the plaintiff’s work on a website is insufficient to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 xml:space="preserve">establish widespread dissemination. </w:t>
      </w:r>
      <w:r w:rsidRPr="00A33CA0">
        <w:rPr>
          <w:rFonts w:ascii="Times New Roman" w:hAnsi="Times New Roman" w:cs="Times New Roman"/>
          <w:i/>
          <w:iCs/>
          <w:kern w:val="0"/>
          <w:sz w:val="24"/>
          <w:szCs w:val="24"/>
        </w:rPr>
        <w:t>See Art Attacks Ink</w:t>
      </w:r>
      <w:r w:rsidRPr="00A33CA0">
        <w:rPr>
          <w:rFonts w:ascii="Times New Roman" w:hAnsi="Times New Roman" w:cs="Times New Roman"/>
          <w:kern w:val="0"/>
          <w:sz w:val="24"/>
          <w:szCs w:val="24"/>
        </w:rPr>
        <w:t>, 581 F.3d at 1145.</w:t>
      </w:r>
    </w:p>
    <w:p w14:paraId="3225D712" w14:textId="77777777" w:rsidR="00A33CA0" w:rsidRPr="002D04DF" w:rsidRDefault="00A33CA0" w:rsidP="00A33C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</w:rPr>
      </w:pPr>
    </w:p>
    <w:p w14:paraId="0D2462E1" w14:textId="09516CE5" w:rsidR="00FE7F82" w:rsidRDefault="002D04DF" w:rsidP="002D04DF">
      <w:pPr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2D04DF">
        <w:rPr>
          <w:rFonts w:ascii="Times New Roman" w:hAnsi="Times New Roman" w:cs="Times New Roman"/>
          <w:kern w:val="0"/>
          <w:sz w:val="24"/>
          <w:szCs w:val="24"/>
        </w:rPr>
        <w:tab/>
        <w:t xml:space="preserve">As to the plaintiff demonstrating that there is a “striking similarity” between works to support an inference of access, 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>see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>Three Boys.,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 xml:space="preserve"> 212 F.3d at 483 (holding that in absence of any proof of access, copyright plaintiff can still make out case of infringement by showing that songs were “strikingly similar</w:t>
      </w:r>
      <w:r w:rsidR="00474416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2D04DF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2D04D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</w:p>
    <w:p w14:paraId="5266A184" w14:textId="5DBD80EA" w:rsidR="00A33CA0" w:rsidRPr="00A33CA0" w:rsidRDefault="00A33CA0" w:rsidP="00A33CA0">
      <w:pPr>
        <w:jc w:val="right"/>
        <w:rPr>
          <w:rFonts w:ascii="Times New Roman" w:hAnsi="Times New Roman" w:cs="Times New Roman"/>
          <w:sz w:val="24"/>
          <w:szCs w:val="24"/>
        </w:rPr>
      </w:pPr>
      <w:r w:rsidRPr="00A33CA0">
        <w:rPr>
          <w:rFonts w:ascii="Times New Roman" w:hAnsi="Times New Roman" w:cs="Times New Roman"/>
          <w:sz w:val="24"/>
          <w:szCs w:val="24"/>
        </w:rPr>
        <w:t>Revised March 2024</w:t>
      </w:r>
    </w:p>
    <w:sectPr w:rsidR="00A33CA0" w:rsidRPr="00A33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HGPMincho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4DF"/>
    <w:rsid w:val="001809AD"/>
    <w:rsid w:val="002D04DF"/>
    <w:rsid w:val="00474416"/>
    <w:rsid w:val="007D6FBC"/>
    <w:rsid w:val="00887257"/>
    <w:rsid w:val="00A33CA0"/>
    <w:rsid w:val="00F4667B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CF11"/>
  <w15:chartTrackingRefBased/>
  <w15:docId w15:val="{57645C31-05B9-485A-8EDC-1796A278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D0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Aejung Yoon</dc:creator>
  <cp:keywords/>
  <dc:description/>
  <cp:lastModifiedBy>Samriddhi Rana</cp:lastModifiedBy>
  <cp:revision>4</cp:revision>
  <dcterms:created xsi:type="dcterms:W3CDTF">2024-05-02T21:13:00Z</dcterms:created>
  <dcterms:modified xsi:type="dcterms:W3CDTF">2024-05-20T22:25:00Z</dcterms:modified>
</cp:coreProperties>
</file>