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014E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Toc196481948"/>
      <w:r w:rsidRPr="00845725">
        <w:rPr>
          <w:rFonts w:ascii="Times New Roman" w:eastAsia="Calibri" w:hAnsi="Times New Roman" w:cs="Times New Roman"/>
          <w:b/>
          <w:bCs/>
          <w:kern w:val="0"/>
          <w14:ligatures w14:val="none"/>
        </w:rPr>
        <w:t>17.18 Copyright Infringement—Copying—Access Defined</w:t>
      </w:r>
      <w:bookmarkEnd w:id="0"/>
    </w:p>
    <w:p w14:paraId="5D17E7B3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9209A1C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>[As part of its burden in Instruction [</w:t>
      </w:r>
      <w:r w:rsidRPr="00845725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insert cross reference to the pertinent instruction e.g., Instruction 17.</w:t>
      </w:r>
      <w:r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17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], the plaintiff [</w:t>
      </w:r>
      <w:r w:rsidRPr="00845725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name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] must prove by a preponderance of the evidence that [the defendant [</w:t>
      </w:r>
      <w:r w:rsidRPr="00845725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name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]] [whoever created the work owned by the defendant [</w:t>
      </w:r>
      <w:r w:rsidRPr="00845725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name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]] had access to the plaintiff [</w:t>
      </w:r>
      <w:r w:rsidRPr="00845725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name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]’s work.] You may find that the defendant [</w:t>
      </w:r>
      <w:r w:rsidRPr="00845725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name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] had access to the plaintiff [</w:t>
      </w:r>
      <w:r w:rsidRPr="00845725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name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]’s work if [the defendant [</w:t>
      </w:r>
      <w:r w:rsidRPr="00845725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name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]] [whoever created the work owned by the defendant [</w:t>
      </w:r>
      <w:r w:rsidRPr="00845725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name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]] had a reasonable opportunity to [view] [read] [hear] [copy] the plaintiff [</w:t>
      </w:r>
      <w:r w:rsidRPr="00845725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name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]’s work before the defendant [</w:t>
      </w:r>
      <w:r w:rsidRPr="00845725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name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]’s work was created.</w:t>
      </w:r>
    </w:p>
    <w:p w14:paraId="72C52D70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16D18E7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b/>
          <w:bCs/>
          <w:kern w:val="0"/>
          <w14:ligatures w14:val="none"/>
        </w:rPr>
        <w:t>Comment</w:t>
      </w:r>
    </w:p>
    <w:p w14:paraId="21610919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2A6B9E2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 xml:space="preserve">Proof of access requires “an opportunity to view or to copy plaintiff’s work.”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See Sid &amp; Marty Krofft Television Prods., Inc. v. McDonald’s Corp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., 562 F.2d 1157, 1172 (9th Cir. 1977);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see also Art Attacks Ink, LLC v. MGA Ent. Inc.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, 581 F.3d 1138, 1143 (9th Cir. 2009) (requiring “a reasonable possibility, not merely a bare possibility”);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Three Boys Music Corp. v. Bolton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, 212 F.3d 477, 482 (9th Cir. 2000) (same),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overruled on other grounds by Skidmore v. Led Zeppelin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, 952 F.3d 1051, 1064 (9th Cir. 2020) (</w:t>
      </w:r>
      <w:proofErr w:type="spellStart"/>
      <w:r w:rsidRPr="00845725">
        <w:rPr>
          <w:rFonts w:ascii="Times New Roman" w:eastAsia="Calibri" w:hAnsi="Times New Roman" w:cs="Times New Roman"/>
          <w:kern w:val="0"/>
          <w14:ligatures w14:val="none"/>
        </w:rPr>
        <w:t>en</w:t>
      </w:r>
      <w:proofErr w:type="spellEnd"/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 banc)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.</w:t>
      </w:r>
    </w:p>
    <w:p w14:paraId="7135D69C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97711C3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b/>
          <w:bCs/>
          <w:kern w:val="0"/>
          <w14:ligatures w14:val="none"/>
        </w:rPr>
        <w:t>Supplemental Instruction</w:t>
      </w:r>
    </w:p>
    <w:p w14:paraId="27F13FAE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D24C7E1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 [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If evidence offered at trial shows various ways of proving access, add the following at the end of the instruction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.]</w:t>
      </w:r>
    </w:p>
    <w:p w14:paraId="3715027E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C0D6A13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>Access may be shown by:</w:t>
      </w:r>
    </w:p>
    <w:p w14:paraId="69AB2D9F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021AFB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>[1.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>a chain of events connecting the plaintiff’s work and the defendant’s opportunity to [view] [hear] [copy] that work [such as dealings through a third party (such as a publisher or record company) that had access to the plaintiff’s work and with whom both the plaintiff and the defendant were dealing]] [or]</w:t>
      </w:r>
    </w:p>
    <w:p w14:paraId="56D1F070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F01F00C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>[2.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>the plaintiff’s work being widely disseminated] [or]</w:t>
      </w:r>
    </w:p>
    <w:p w14:paraId="1862E3C3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4C87CCB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>[3.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>a similarity between the plaintiff’s work and the defendant’s work that is so “striking” that it is highly likely the works were not created independent of one another].</w:t>
      </w:r>
    </w:p>
    <w:p w14:paraId="3A684021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C70F74C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b/>
          <w:bCs/>
          <w:kern w:val="0"/>
          <w14:ligatures w14:val="none"/>
        </w:rPr>
        <w:t>Comment</w:t>
      </w:r>
    </w:p>
    <w:p w14:paraId="24CBF920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210449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>“Where there is no direct evidence of access, circumstantial evidence can be used to prove access either by (1) establishing a chain of events linking the plaintiff’s work and the defendant’s access, or (2) showing that the plaintiff’s work has been widely disseminated.” (citation omitted)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Loomis v. Cornish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, 836 F.3d 991, 995 (9th Cir. 2016);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see also Three Boys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, 212 F.3d at 482 (holding that reasonable access can be shown by a chain of events connecting plaintiff’s work and defendant’s access or by plaintiff’s work being widely distributed, and stating that the widespread dissemination approach is often coupled with a theory of 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“subconscious copying”);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Art Attacks Ink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 581 F.3d at 1143-45 (holding no access shown under chain of events or wide dissemination theories);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Kamar Int’l, Inc. v. Russ Berrie &amp; Co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., 657 F.2d 1059 (9th Cir. 1981) (holding access shown by dealings between parties and third party on chain of events theory relating to same subject matter)</w:t>
      </w:r>
      <w:r w:rsidRPr="00BF537C">
        <w:rPr>
          <w:rFonts w:ascii="Times New Roman" w:eastAsia="Calibri" w:hAnsi="Times New Roman" w:cs="Times New Roman"/>
          <w:kern w:val="0"/>
          <w14:ligatures w14:val="none"/>
        </w:rPr>
        <w:t xml:space="preserve">; </w:t>
      </w:r>
      <w:r w:rsidRPr="00BF537C">
        <w:rPr>
          <w:rFonts w:ascii="Times New Roman" w:eastAsia="Calibri" w:hAnsi="Times New Roman" w:cs="Times New Roman"/>
          <w:i/>
          <w:iCs/>
          <w:kern w:val="0"/>
          <w14:ligatures w14:val="none"/>
        </w:rPr>
        <w:t>Woodland v. Hill</w:t>
      </w:r>
      <w:r w:rsidRPr="00BF537C">
        <w:rPr>
          <w:rFonts w:ascii="Times New Roman" w:eastAsia="Calibri" w:hAnsi="Times New Roman" w:cs="Times New Roman"/>
          <w:kern w:val="0"/>
          <w14:ligatures w14:val="none"/>
        </w:rPr>
        <w:t>, 136 F.4th 1199, 1210 (9th Cir. 2025) (rejecting plaintiff’s theory that allegations of copying of twelve photos showed serial infringement and “raise[d] an inference of copying”)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4DAE3F2F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0BABFAC" w14:textId="77777777" w:rsidR="002351D5" w:rsidRDefault="002351D5" w:rsidP="002351D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As to widespread dissemination, the plaintiff may show “the degree of a work's commercial success and on its distribution through . . . relevant mediums.”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Loomis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, 836 F.3d at 997;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see also Three Boys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, 212 F.3d at 484-85 </w:t>
      </w:r>
      <w:r>
        <w:rPr>
          <w:rFonts w:ascii="Times New Roman" w:eastAsia="Calibri" w:hAnsi="Times New Roman" w:cs="Times New Roman"/>
          <w:kern w:val="0"/>
          <w14:ligatures w14:val="none"/>
        </w:rPr>
        <w:t>(</w:t>
      </w:r>
      <w:r w:rsidRPr="000E4371">
        <w:rPr>
          <w:rFonts w:ascii="Times New Roman" w:eastAsia="Calibri" w:hAnsi="Times New Roman" w:cs="Times New Roman"/>
          <w:kern w:val="0"/>
          <w14:ligatures w14:val="none"/>
        </w:rPr>
        <w:t>discussing evidence relevant to the widespread dissemination theory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). 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 In addition to raising an inference of access due to widespread dissemination, the plaintiff can raise an inference of access where the allegedly infringed work saturated a relevant market in which both the plaintiff and the defendant participate.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See Loomis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, 836 F.3d at 997;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L.A. </w:t>
      </w:r>
      <w:proofErr w:type="spellStart"/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Printex</w:t>
      </w:r>
      <w:proofErr w:type="spellEnd"/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Indus., Inc. v. Aeropostale, Inc.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, 676 F.3d 841, 848 (9th Cir. 2012) (holding that “there was a reasonable possibility that Defendants had an opportunity to view and copy [the allegedly infringed] design” where plaintiff’s fabric design “was widely disseminated in the Los Angeles-area fabric industry” over a four-year period and the parties both operated in that market during that period). </w:t>
      </w:r>
    </w:p>
    <w:p w14:paraId="0757FBE9" w14:textId="77777777" w:rsidR="002351D5" w:rsidRDefault="002351D5" w:rsidP="002351D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5567C5A0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The mere presence of the plaintiff’s work on a website is insufficient to establish widespread dissemination.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See Art Attacks Ink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, 581 F.3d at 1145.</w:t>
      </w:r>
      <w:r w:rsidRPr="00BF537C">
        <w:rPr>
          <w:rFonts w:ascii="Times New Roman" w:eastAsia="Calibri" w:hAnsi="Times New Roman" w:cs="Times New Roman"/>
          <w:kern w:val="0"/>
          <w14:ligatures w14:val="none"/>
        </w:rPr>
        <w:t xml:space="preserve"> For a discussion of how social media platforms “could make it easier for plaintiffs to show that defendants had access to their materials—but only </w:t>
      </w:r>
      <w:r w:rsidRPr="00BF537C">
        <w:rPr>
          <w:rFonts w:ascii="Times New Roman" w:eastAsia="Calibri" w:hAnsi="Times New Roman" w:cs="Times New Roman"/>
          <w:i/>
          <w:iCs/>
          <w:kern w:val="0"/>
          <w14:ligatures w14:val="none"/>
        </w:rPr>
        <w:t>if</w:t>
      </w:r>
      <w:r w:rsidRPr="00BF537C">
        <w:rPr>
          <w:rFonts w:ascii="Times New Roman" w:eastAsia="Calibri" w:hAnsi="Times New Roman" w:cs="Times New Roman"/>
          <w:kern w:val="0"/>
          <w14:ligatures w14:val="none"/>
        </w:rPr>
        <w:t> they can show that the defendants had a reasonable chance of seeing their work under that platform's algorithm or content-sharing policy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BF537C">
        <w:rPr>
          <w:rFonts w:ascii="Times New Roman" w:eastAsia="Calibri" w:hAnsi="Times New Roman" w:cs="Times New Roman"/>
          <w:kern w:val="0"/>
          <w14:ligatures w14:val="none"/>
        </w:rPr>
        <w:t>”</w:t>
      </w:r>
      <w:r w:rsidRPr="006F2CEA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see </w:t>
      </w:r>
      <w:r w:rsidRPr="00BF537C">
        <w:rPr>
          <w:rFonts w:ascii="Times New Roman" w:eastAsia="Calibri" w:hAnsi="Times New Roman" w:cs="Times New Roman"/>
          <w:i/>
          <w:iCs/>
          <w:kern w:val="0"/>
          <w14:ligatures w14:val="none"/>
        </w:rPr>
        <w:t>Woodland</w:t>
      </w:r>
      <w:r w:rsidRPr="00BF537C">
        <w:rPr>
          <w:rFonts w:ascii="Times New Roman" w:eastAsia="Calibri" w:hAnsi="Times New Roman" w:cs="Times New Roman"/>
          <w:kern w:val="0"/>
          <w14:ligatures w14:val="none"/>
        </w:rPr>
        <w:t>, 136 F.4th at 1209 (holding that the plaintiff had not shown access by the defendant to photos the plaintiff posted on Instagram because his theory was speculation). </w:t>
      </w:r>
    </w:p>
    <w:p w14:paraId="09157CDF" w14:textId="77777777" w:rsidR="002351D5" w:rsidRPr="00845725" w:rsidRDefault="002351D5" w:rsidP="002351D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18642026" w14:textId="77777777" w:rsidR="002351D5" w:rsidRPr="00845725" w:rsidRDefault="002351D5" w:rsidP="002351D5">
      <w:pPr>
        <w:spacing w:after="0" w:line="240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 xml:space="preserve">As to the plaintiff demonstrating that there is a “striking similarity” between works to support an inference of access,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see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Three Boys.,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 212 F.3d at 48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 (holding that in absence of any proof of access, copyright plaintiff can still make out case of infringement by showing that songs were “strikingly similar.”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</w:p>
    <w:p w14:paraId="4165CE0C" w14:textId="0A9F30D5" w:rsidR="002351D5" w:rsidRPr="002351D5" w:rsidRDefault="002351D5" w:rsidP="002351D5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Revised </w:t>
      </w:r>
      <w:r>
        <w:rPr>
          <w:rFonts w:ascii="Times New Roman" w:eastAsia="Calibri" w:hAnsi="Times New Roman" w:cs="Times New Roman"/>
          <w:i/>
          <w:iCs/>
          <w:kern w:val="0"/>
          <w14:ligatures w14:val="none"/>
        </w:rPr>
        <w:t>September 2025</w:t>
      </w:r>
    </w:p>
    <w:sectPr w:rsidR="002351D5" w:rsidRPr="00235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D5"/>
    <w:rsid w:val="002351D5"/>
    <w:rsid w:val="0092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2448"/>
  <w15:chartTrackingRefBased/>
  <w15:docId w15:val="{13AD6971-27D0-43AE-9A46-E78B4BE9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1D5"/>
  </w:style>
  <w:style w:type="paragraph" w:styleId="Heading1">
    <w:name w:val="heading 1"/>
    <w:basedOn w:val="Normal"/>
    <w:next w:val="Normal"/>
    <w:link w:val="Heading1Char"/>
    <w:uiPriority w:val="9"/>
    <w:qFormat/>
    <w:rsid w:val="00235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1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1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1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4282</Characters>
  <Application>Microsoft Office Word</Application>
  <DocSecurity>0</DocSecurity>
  <Lines>35</Lines>
  <Paragraphs>10</Paragraphs>
  <ScaleCrop>false</ScaleCrop>
  <Company>United States Courts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Samriddhi Rana</dc:creator>
  <cp:keywords/>
  <dc:description/>
  <cp:lastModifiedBy>Samriddhi Rana</cp:lastModifiedBy>
  <cp:revision>1</cp:revision>
  <dcterms:created xsi:type="dcterms:W3CDTF">2025-11-10T05:45:00Z</dcterms:created>
  <dcterms:modified xsi:type="dcterms:W3CDTF">2025-11-10T06:00:00Z</dcterms:modified>
</cp:coreProperties>
</file>