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319D" w14:textId="77777777" w:rsidR="00E5150B" w:rsidRPr="00845725" w:rsidRDefault="00E5150B" w:rsidP="00E5150B">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49"/>
      <w:r w:rsidRPr="00845725">
        <w:rPr>
          <w:rFonts w:ascii="Times New Roman" w:eastAsia="Calibri" w:hAnsi="Times New Roman" w:cs="Times New Roman"/>
          <w:b/>
          <w:bCs/>
          <w:kern w:val="0"/>
          <w14:ligatures w14:val="none"/>
        </w:rPr>
        <w:t>17.19 Substantial Similarity—Extrinsic Test; Intrinsic Test</w:t>
      </w:r>
      <w:bookmarkEnd w:id="0"/>
    </w:p>
    <w:p w14:paraId="581619F1" w14:textId="77777777" w:rsidR="00E5150B" w:rsidRPr="00845725" w:rsidRDefault="00E5150B" w:rsidP="00E5150B">
      <w:pPr>
        <w:spacing w:after="0" w:line="240" w:lineRule="auto"/>
        <w:rPr>
          <w:rFonts w:ascii="Times New Roman" w:eastAsia="Calibri" w:hAnsi="Times New Roman" w:cs="Times New Roman"/>
          <w:kern w:val="0"/>
          <w14:ligatures w14:val="none"/>
        </w:rPr>
      </w:pPr>
    </w:p>
    <w:p w14:paraId="62EE1E72" w14:textId="77777777" w:rsidR="00E5150B" w:rsidRPr="00845725" w:rsidRDefault="00E5150B" w:rsidP="00E5150B">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45725">
        <w:rPr>
          <w:rFonts w:ascii="Times New Roman" w:eastAsia="Calibri" w:hAnsi="Times New Roman" w:cs="Times New Roman"/>
          <w:b/>
          <w:bCs/>
          <w:kern w:val="0"/>
          <w14:ligatures w14:val="none"/>
        </w:rPr>
        <w:t>Comment</w:t>
      </w:r>
    </w:p>
    <w:p w14:paraId="6412EAD5"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44C7CB0A"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t xml:space="preserve">As the Ninth Circuit confirmed in </w:t>
      </w:r>
      <w:r w:rsidRPr="00845725">
        <w:rPr>
          <w:rFonts w:ascii="Times New Roman" w:eastAsia="Calibri" w:hAnsi="Times New Roman" w:cs="Times New Roman"/>
          <w:i/>
          <w:iCs/>
          <w:kern w:val="0"/>
          <w14:ligatures w14:val="none"/>
        </w:rPr>
        <w:t>Antonick v. Electronic Arts, Inc</w:t>
      </w:r>
      <w:r w:rsidRPr="00845725">
        <w:rPr>
          <w:rFonts w:ascii="Times New Roman" w:eastAsia="Calibri" w:hAnsi="Times New Roman" w:cs="Times New Roman"/>
          <w:kern w:val="0"/>
          <w14:ligatures w14:val="none"/>
        </w:rPr>
        <w:t>., 841 F.3d 1062 (9th Cir. 2016), the court employs a two-part test for determining whether one work is substantially similar to another:</w:t>
      </w:r>
    </w:p>
    <w:p w14:paraId="3FC51A6C"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07936845" w14:textId="77777777" w:rsidR="00E5150B" w:rsidRPr="00845725" w:rsidRDefault="00E5150B" w:rsidP="00E5150B">
      <w:pPr>
        <w:autoSpaceDE w:val="0"/>
        <w:autoSpaceDN w:val="0"/>
        <w:adjustRightInd w:val="0"/>
        <w:spacing w:after="0" w:line="240" w:lineRule="auto"/>
        <w:ind w:left="720" w:right="720"/>
        <w:jc w:val="both"/>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 plaintiff] 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D13DA09"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3DA0633C"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i/>
          <w:iCs/>
          <w:kern w:val="0"/>
          <w14:ligatures w14:val="none"/>
        </w:rPr>
        <w:t>Id</w:t>
      </w:r>
      <w:r w:rsidRPr="00845725">
        <w:rPr>
          <w:rFonts w:ascii="Times New Roman" w:eastAsia="Calibri" w:hAnsi="Times New Roman" w:cs="Times New Roman"/>
          <w:kern w:val="0"/>
          <w14:ligatures w14:val="none"/>
        </w:rPr>
        <w:t xml:space="preserve">. at 1065-66; </w:t>
      </w:r>
      <w:r w:rsidRPr="00845725">
        <w:rPr>
          <w:rFonts w:ascii="Times New Roman" w:eastAsia="Calibri" w:hAnsi="Times New Roman" w:cs="Times New Roman"/>
          <w:i/>
          <w:iCs/>
          <w:kern w:val="0"/>
          <w14:ligatures w14:val="none"/>
        </w:rPr>
        <w:t>see also Williams v. Gaye</w:t>
      </w:r>
      <w:r w:rsidRPr="00845725">
        <w:rPr>
          <w:rFonts w:ascii="Times New Roman" w:eastAsia="Calibri" w:hAnsi="Times New Roman" w:cs="Times New Roman"/>
          <w:kern w:val="0"/>
          <w14:ligatures w14:val="none"/>
        </w:rPr>
        <w:t xml:space="preserve">, 885 F.3d 1150, 1163 (9th Cir. 2018) (approving instructions and explaining that extrinsic test requires “analytical dissection of a work and expert testimony”). The extrinsic test is a question of law for the court. </w:t>
      </w:r>
      <w:r w:rsidRPr="00845725">
        <w:rPr>
          <w:rFonts w:ascii="Times New Roman" w:eastAsia="Calibri" w:hAnsi="Times New Roman" w:cs="Times New Roman"/>
          <w:i/>
          <w:iCs/>
          <w:kern w:val="0"/>
          <w14:ligatures w14:val="none"/>
        </w:rPr>
        <w:t>See Gray v. Hudson</w:t>
      </w:r>
      <w:r w:rsidRPr="00845725">
        <w:rPr>
          <w:rFonts w:ascii="Times New Roman" w:eastAsia="Calibri" w:hAnsi="Times New Roman" w:cs="Times New Roman"/>
          <w:kern w:val="0"/>
          <w14:ligatures w14:val="none"/>
        </w:rPr>
        <w:t>, 28</w:t>
      </w:r>
    </w:p>
    <w:p w14:paraId="4D0BD814"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F.4th 87, 97 (9th Cir. 2022). If the court determines that the plaintiff has failed to satisfy the extrinsic test, then</w:t>
      </w:r>
      <w:r>
        <w:rPr>
          <w:rFonts w:ascii="Times New Roman" w:eastAsia="Calibri" w:hAnsi="Times New Roman" w:cs="Times New Roman"/>
          <w:kern w:val="0"/>
          <w14:ligatures w14:val="none"/>
        </w:rPr>
        <w:t xml:space="preserve"> the</w:t>
      </w:r>
      <w:r w:rsidRPr="00845725">
        <w:rPr>
          <w:rFonts w:ascii="Times New Roman" w:eastAsia="Calibri" w:hAnsi="Times New Roman" w:cs="Times New Roman"/>
          <w:kern w:val="0"/>
          <w14:ligatures w14:val="none"/>
        </w:rPr>
        <w:t xml:space="preserve"> infringement claim fails and there is no need to proceed to the intrinsic test. </w:t>
      </w:r>
      <w:r w:rsidRPr="00845725">
        <w:rPr>
          <w:rFonts w:ascii="Times New Roman" w:eastAsia="Calibri" w:hAnsi="Times New Roman" w:cs="Times New Roman"/>
          <w:i/>
          <w:iCs/>
          <w:kern w:val="0"/>
          <w14:ligatures w14:val="none"/>
        </w:rPr>
        <w:t>See Skidmore</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v. Led Zeppelin</w:t>
      </w:r>
      <w:r w:rsidRPr="00845725">
        <w:rPr>
          <w:rFonts w:ascii="Times New Roman" w:eastAsia="Calibri" w:hAnsi="Times New Roman" w:cs="Times New Roman"/>
          <w:kern w:val="0"/>
          <w14:ligatures w14:val="none"/>
        </w:rPr>
        <w:t>, 952 F.3d 1051, 1064 (9th Cir. 2020) (</w:t>
      </w:r>
      <w:proofErr w:type="spellStart"/>
      <w:r w:rsidRPr="00845725">
        <w:rPr>
          <w:rFonts w:ascii="Times New Roman" w:eastAsia="Calibri" w:hAnsi="Times New Roman" w:cs="Times New Roman"/>
          <w:kern w:val="0"/>
          <w14:ligatures w14:val="none"/>
        </w:rPr>
        <w:t>en</w:t>
      </w:r>
      <w:proofErr w:type="spellEnd"/>
      <w:r w:rsidRPr="00845725">
        <w:rPr>
          <w:rFonts w:ascii="Times New Roman" w:eastAsia="Calibri" w:hAnsi="Times New Roman" w:cs="Times New Roman"/>
          <w:kern w:val="0"/>
          <w14:ligatures w14:val="none"/>
        </w:rPr>
        <w:t xml:space="preserve"> banc); </w:t>
      </w:r>
      <w:r w:rsidRPr="00845725">
        <w:rPr>
          <w:rFonts w:ascii="Times New Roman" w:eastAsia="Calibri" w:hAnsi="Times New Roman" w:cs="Times New Roman"/>
          <w:i/>
          <w:iCs/>
          <w:kern w:val="0"/>
          <w14:ligatures w14:val="none"/>
        </w:rPr>
        <w:t>Corbello v. Valli</w:t>
      </w:r>
      <w:r w:rsidRPr="00845725">
        <w:rPr>
          <w:rFonts w:ascii="Times New Roman" w:eastAsia="Calibri" w:hAnsi="Times New Roman" w:cs="Times New Roman"/>
          <w:kern w:val="0"/>
          <w14:ligatures w14:val="none"/>
        </w:rPr>
        <w:t xml:space="preserve">, 974 F.3d 965, 974 (9th Cir. 2020); </w:t>
      </w:r>
      <w:r w:rsidRPr="00845725">
        <w:rPr>
          <w:rFonts w:ascii="Times New Roman" w:eastAsia="Calibri" w:hAnsi="Times New Roman" w:cs="Times New Roman"/>
          <w:i/>
          <w:iCs/>
          <w:kern w:val="0"/>
          <w14:ligatures w14:val="none"/>
        </w:rPr>
        <w:t>Tangle, Inc. v. Aritzia, Inc.,</w:t>
      </w:r>
      <w:r w:rsidRPr="00845725">
        <w:rPr>
          <w:rFonts w:ascii="Times New Roman" w:eastAsia="Calibri" w:hAnsi="Times New Roman" w:cs="Times New Roman"/>
          <w:kern w:val="0"/>
          <w14:ligatures w14:val="none"/>
        </w:rPr>
        <w:t xml:space="preserve"> 125 F.4th 991, 997 (9th Cir. 2025) (“The extrinsic test thus serves to screen out objectively meritless claims, so courts can apply it as a matter of law.”).</w:t>
      </w:r>
    </w:p>
    <w:p w14:paraId="5A6D4497"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2CED4014" w14:textId="77777777" w:rsidR="00E5150B" w:rsidRPr="00845725" w:rsidRDefault="00E5150B" w:rsidP="00E5150B">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lang w:val="en-CA"/>
          <w14:ligatures w14:val="none"/>
        </w:rPr>
        <w:fldChar w:fldCharType="begin"/>
      </w:r>
      <w:r w:rsidRPr="00845725">
        <w:rPr>
          <w:rFonts w:ascii="Times New Roman" w:eastAsia="Calibri" w:hAnsi="Times New Roman" w:cs="Times New Roman"/>
          <w:kern w:val="0"/>
          <w:lang w:val="en-CA"/>
          <w14:ligatures w14:val="none"/>
        </w:rPr>
        <w:instrText xml:space="preserve"> SEQ CHAPTER \h \r 1</w:instrText>
      </w:r>
      <w:r w:rsidRPr="00845725">
        <w:rPr>
          <w:rFonts w:ascii="Times New Roman" w:eastAsia="Calibri" w:hAnsi="Times New Roman" w:cs="Times New Roman"/>
          <w:kern w:val="0"/>
          <w14:ligatures w14:val="none"/>
        </w:rPr>
        <w:fldChar w:fldCharType="end"/>
      </w:r>
      <w:r w:rsidRPr="00845725">
        <w:rPr>
          <w:rFonts w:ascii="Times New Roman" w:eastAsia="Calibri" w:hAnsi="Times New Roman" w:cs="Times New Roman"/>
          <w:kern w:val="0"/>
          <w14:ligatures w14:val="none"/>
        </w:rPr>
        <w:t xml:space="preserve">If the court determines that “the idea underlying </w:t>
      </w:r>
      <w:r>
        <w:rPr>
          <w:rFonts w:ascii="Times New Roman" w:eastAsia="Calibri" w:hAnsi="Times New Roman" w:cs="Times New Roman"/>
          <w:kern w:val="0"/>
          <w14:ligatures w14:val="none"/>
        </w:rPr>
        <w:t>[a]</w:t>
      </w:r>
      <w:r w:rsidRPr="00845725">
        <w:rPr>
          <w:rFonts w:ascii="Times New Roman" w:eastAsia="Calibri" w:hAnsi="Times New Roman" w:cs="Times New Roman"/>
          <w:kern w:val="0"/>
          <w14:ligatures w14:val="none"/>
        </w:rPr>
        <w:t xml:space="preserve"> copyrighted work can be expressed in only one way,” such that the idea and its expression merge (the “merger doctrine”), </w:t>
      </w:r>
      <w:r>
        <w:rPr>
          <w:rFonts w:ascii="Times New Roman" w:eastAsia="Calibri" w:hAnsi="Times New Roman" w:cs="Times New Roman"/>
          <w:kern w:val="0"/>
          <w14:ligatures w14:val="none"/>
        </w:rPr>
        <w:t xml:space="preserve">then </w:t>
      </w:r>
      <w:r w:rsidRPr="000E4371">
        <w:rPr>
          <w:rFonts w:ascii="Times New Roman" w:eastAsia="Calibri" w:hAnsi="Times New Roman" w:cs="Times New Roman"/>
          <w:kern w:val="0"/>
          <w14:ligatures w14:val="none"/>
        </w:rPr>
        <w:t xml:space="preserve">“courts will not protect [the] copyrighted work from infringement.” </w:t>
      </w:r>
      <w:proofErr w:type="spellStart"/>
      <w:r w:rsidRPr="00845725">
        <w:rPr>
          <w:rFonts w:ascii="Times New Roman" w:eastAsia="Calibri" w:hAnsi="Times New Roman" w:cs="Times New Roman"/>
          <w:i/>
          <w:iCs/>
          <w:kern w:val="0"/>
          <w14:ligatures w14:val="none"/>
        </w:rPr>
        <w:t>Ets-Hokin</w:t>
      </w:r>
      <w:proofErr w:type="spellEnd"/>
      <w:r w:rsidRPr="00845725">
        <w:rPr>
          <w:rFonts w:ascii="Times New Roman" w:eastAsia="Calibri" w:hAnsi="Times New Roman" w:cs="Times New Roman"/>
          <w:i/>
          <w:iCs/>
          <w:kern w:val="0"/>
          <w14:ligatures w14:val="none"/>
        </w:rPr>
        <w:t xml:space="preserve"> v. Skyy Spirits, Inc.</w:t>
      </w:r>
      <w:r w:rsidRPr="00845725">
        <w:rPr>
          <w:rFonts w:ascii="Times New Roman" w:eastAsia="Calibri" w:hAnsi="Times New Roman" w:cs="Times New Roman"/>
          <w:kern w:val="0"/>
          <w14:ligatures w14:val="none"/>
        </w:rPr>
        <w:t>, 225 F.3d 1068, 1082 (9th Cir. 2000)</w:t>
      </w:r>
      <w:r>
        <w:rPr>
          <w:rFonts w:ascii="Times New Roman" w:eastAsia="Calibri" w:hAnsi="Times New Roman" w:cs="Times New Roman"/>
          <w:kern w:val="0"/>
          <w14:ligatures w14:val="none"/>
        </w:rPr>
        <w:t>. And</w:t>
      </w:r>
      <w:r w:rsidRPr="00845725">
        <w:rPr>
          <w:rFonts w:ascii="Times New Roman" w:eastAsia="Calibri" w:hAnsi="Times New Roman" w:cs="Times New Roman"/>
          <w:kern w:val="0"/>
          <w14:ligatures w14:val="none"/>
        </w:rPr>
        <w:t xml:space="preserve"> where “the expression is as a practical matter indispensable, or at least standard in the treatment of a given idea” (the “scenes a faire doctrine”), </w:t>
      </w:r>
      <w:r w:rsidRPr="00845725">
        <w:rPr>
          <w:rFonts w:ascii="Times New Roman" w:eastAsia="Calibri" w:hAnsi="Times New Roman" w:cs="Times New Roman"/>
          <w:i/>
          <w:iCs/>
          <w:kern w:val="0"/>
          <w14:ligatures w14:val="none"/>
        </w:rPr>
        <w:t>Frybarger v. Int’l Bus. Machines Corp.</w:t>
      </w:r>
      <w:r w:rsidRPr="00845725">
        <w:rPr>
          <w:rFonts w:ascii="Times New Roman" w:eastAsia="Calibri" w:hAnsi="Times New Roman" w:cs="Times New Roman"/>
          <w:kern w:val="0"/>
          <w14:ligatures w14:val="none"/>
        </w:rPr>
        <w:t xml:space="preserve">, 812 F.2d 525, 530 (9th Cir. 1987), “the expression is protected only against . . . virtually identical copying,” </w:t>
      </w:r>
      <w:r w:rsidRPr="00845725">
        <w:rPr>
          <w:rFonts w:ascii="Times New Roman" w:eastAsia="Calibri" w:hAnsi="Times New Roman" w:cs="Times New Roman"/>
          <w:i/>
          <w:iCs/>
          <w:kern w:val="0"/>
          <w14:ligatures w14:val="none"/>
        </w:rPr>
        <w:t>Johnson Controls, Inc. v. Control Sys., Inc.</w:t>
      </w:r>
      <w:r w:rsidRPr="00845725">
        <w:rPr>
          <w:rFonts w:ascii="Times New Roman" w:eastAsia="Calibri" w:hAnsi="Times New Roman" w:cs="Times New Roman"/>
          <w:kern w:val="0"/>
          <w14:ligatures w14:val="none"/>
        </w:rPr>
        <w:t xml:space="preserve">, 886 F.2d 1173, 1175 (9th Cir. 1989); </w:t>
      </w:r>
      <w:r w:rsidRPr="00845725">
        <w:rPr>
          <w:rFonts w:ascii="Times New Roman" w:eastAsia="Calibri" w:hAnsi="Times New Roman" w:cs="Times New Roman"/>
          <w:i/>
          <w:iCs/>
          <w:kern w:val="0"/>
          <w14:ligatures w14:val="none"/>
        </w:rPr>
        <w:t xml:space="preserve">see also Data E. USA, Inc. v. </w:t>
      </w:r>
      <w:proofErr w:type="spellStart"/>
      <w:r w:rsidRPr="00845725">
        <w:rPr>
          <w:rFonts w:ascii="Times New Roman" w:eastAsia="Calibri" w:hAnsi="Times New Roman" w:cs="Times New Roman"/>
          <w:i/>
          <w:iCs/>
          <w:kern w:val="0"/>
          <w14:ligatures w14:val="none"/>
        </w:rPr>
        <w:t>Epyx</w:t>
      </w:r>
      <w:proofErr w:type="spellEnd"/>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24C01656" w14:textId="77777777" w:rsidR="00E5150B" w:rsidRPr="00845725" w:rsidRDefault="00E5150B" w:rsidP="00E5150B">
      <w:pPr>
        <w:autoSpaceDE w:val="0"/>
        <w:autoSpaceDN w:val="0"/>
        <w:adjustRightInd w:val="0"/>
        <w:spacing w:after="0" w:line="240" w:lineRule="auto"/>
        <w:ind w:firstLine="720"/>
        <w:rPr>
          <w:rFonts w:ascii="Times New Roman" w:eastAsia="Calibri" w:hAnsi="Times New Roman" w:cs="Times New Roman"/>
          <w:kern w:val="0"/>
          <w:u w:val="double"/>
          <w14:ligatures w14:val="none"/>
        </w:rPr>
      </w:pPr>
    </w:p>
    <w:p w14:paraId="78259743" w14:textId="77777777" w:rsidR="00E5150B" w:rsidRPr="00845725" w:rsidRDefault="00E5150B" w:rsidP="00E5150B">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lang w:val="en-CA"/>
          <w14:ligatures w14:val="none"/>
        </w:rPr>
        <w:fldChar w:fldCharType="begin"/>
      </w:r>
      <w:r w:rsidRPr="00845725">
        <w:rPr>
          <w:rFonts w:ascii="Times New Roman" w:eastAsia="Calibri" w:hAnsi="Times New Roman" w:cs="Times New Roman"/>
          <w:kern w:val="0"/>
          <w:lang w:val="en-CA"/>
          <w14:ligatures w14:val="none"/>
        </w:rPr>
        <w:instrText xml:space="preserve"> SEQ CHAPTER \h \r 1</w:instrText>
      </w:r>
      <w:r w:rsidRPr="00845725">
        <w:rPr>
          <w:rFonts w:ascii="Times New Roman" w:eastAsia="Calibri" w:hAnsi="Times New Roman" w:cs="Times New Roman"/>
          <w:kern w:val="0"/>
          <w14:ligatures w14:val="none"/>
        </w:rPr>
        <w:fldChar w:fldCharType="end"/>
      </w:r>
      <w:r w:rsidRPr="00845725">
        <w:rPr>
          <w:rFonts w:ascii="Times New Roman" w:eastAsia="Calibri" w:hAnsi="Times New Roman" w:cs="Times New Roman"/>
          <w:kern w:val="0"/>
          <w14:ligatures w14:val="none"/>
        </w:rPr>
        <w:t xml:space="preserve">If the extrinsic test is satisfied, the intrinsic test is a matter for the jury. </w:t>
      </w:r>
      <w:r w:rsidRPr="00845725">
        <w:rPr>
          <w:rFonts w:ascii="Times New Roman" w:eastAsia="Calibri" w:hAnsi="Times New Roman" w:cs="Times New Roman"/>
          <w:i/>
          <w:iCs/>
          <w:kern w:val="0"/>
          <w14:ligatures w14:val="none"/>
        </w:rPr>
        <w:t>See Corbello</w:t>
      </w:r>
      <w:r w:rsidRPr="00845725">
        <w:rPr>
          <w:rFonts w:ascii="Times New Roman" w:eastAsia="Calibri" w:hAnsi="Times New Roman" w:cs="Times New Roman"/>
          <w:kern w:val="0"/>
          <w14:ligatures w14:val="none"/>
        </w:rPr>
        <w:t xml:space="preserve">, 974 F.3d at 974; </w:t>
      </w:r>
      <w:r w:rsidRPr="00845725">
        <w:rPr>
          <w:rFonts w:ascii="Times New Roman" w:eastAsia="Calibri" w:hAnsi="Times New Roman" w:cs="Times New Roman"/>
          <w:i/>
          <w:iCs/>
          <w:kern w:val="0"/>
          <w14:ligatures w14:val="none"/>
        </w:rPr>
        <w:t xml:space="preserve">Apple </w:t>
      </w:r>
      <w:proofErr w:type="spellStart"/>
      <w:r w:rsidRPr="00845725">
        <w:rPr>
          <w:rFonts w:ascii="Times New Roman" w:eastAsia="Calibri" w:hAnsi="Times New Roman" w:cs="Times New Roman"/>
          <w:i/>
          <w:iCs/>
          <w:kern w:val="0"/>
          <w14:ligatures w14:val="none"/>
        </w:rPr>
        <w:t>Comput</w:t>
      </w:r>
      <w:proofErr w:type="spellEnd"/>
      <w:r w:rsidRPr="00845725">
        <w:rPr>
          <w:rFonts w:ascii="Times New Roman" w:eastAsia="Calibri" w:hAnsi="Times New Roman" w:cs="Times New Roman"/>
          <w:i/>
          <w:iCs/>
          <w:kern w:val="0"/>
          <w14:ligatures w14:val="none"/>
        </w:rPr>
        <w:t>., Inc. v. Microsoft Corp.</w:t>
      </w:r>
      <w:r w:rsidRPr="00845725">
        <w:rPr>
          <w:rFonts w:ascii="Times New Roman" w:eastAsia="Calibri" w:hAnsi="Times New Roman" w:cs="Times New Roman"/>
          <w:kern w:val="0"/>
          <w14:ligatures w14:val="none"/>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5725">
        <w:rPr>
          <w:rFonts w:ascii="Times New Roman" w:eastAsia="Calibri" w:hAnsi="Times New Roman" w:cs="Times New Roman"/>
          <w:i/>
          <w:iCs/>
          <w:kern w:val="0"/>
          <w14:ligatures w14:val="none"/>
        </w:rPr>
        <w:t xml:space="preserve">See Apple </w:t>
      </w:r>
      <w:proofErr w:type="spellStart"/>
      <w:r w:rsidRPr="00845725">
        <w:rPr>
          <w:rFonts w:ascii="Times New Roman" w:eastAsia="Calibri" w:hAnsi="Times New Roman" w:cs="Times New Roman"/>
          <w:i/>
          <w:iCs/>
          <w:kern w:val="0"/>
          <w14:ligatures w14:val="none"/>
        </w:rPr>
        <w:t>Comput</w:t>
      </w:r>
      <w:proofErr w:type="spellEnd"/>
      <w:r w:rsidRPr="00845725">
        <w:rPr>
          <w:rFonts w:ascii="Times New Roman" w:eastAsia="Calibri" w:hAnsi="Times New Roman" w:cs="Times New Roman"/>
          <w:i/>
          <w:iCs/>
          <w:kern w:val="0"/>
          <w14:ligatures w14:val="none"/>
        </w:rPr>
        <w:t>.</w:t>
      </w:r>
      <w:r w:rsidRPr="00845725">
        <w:rPr>
          <w:rFonts w:ascii="Times New Roman" w:eastAsia="Calibri" w:hAnsi="Times New Roman" w:cs="Times New Roman"/>
          <w:kern w:val="0"/>
          <w14:ligatures w14:val="none"/>
        </w:rPr>
        <w:t xml:space="preserve">, 35 F.3d at 1443, 1446; </w:t>
      </w:r>
      <w:r w:rsidRPr="00845725">
        <w:rPr>
          <w:rFonts w:ascii="Times New Roman" w:eastAsia="Calibri" w:hAnsi="Times New Roman" w:cs="Times New Roman"/>
          <w:i/>
          <w:iCs/>
          <w:kern w:val="0"/>
          <w14:ligatures w14:val="none"/>
        </w:rPr>
        <w:t>Dream Games of Ariz., Inc. v. PC Onsite</w:t>
      </w:r>
      <w:r w:rsidRPr="00845725">
        <w:rPr>
          <w:rFonts w:ascii="Times New Roman" w:eastAsia="Calibri" w:hAnsi="Times New Roman" w:cs="Times New Roman"/>
          <w:kern w:val="0"/>
          <w14:ligatures w14:val="none"/>
        </w:rPr>
        <w:t xml:space="preserve">, 561 F.3d 983, 988-89 (9th Cir. 2009). The jury must determine if the ordinary reasonable viewer would believe that the defendant’s work appropriated the plaintiff’s work as a subjective matter. </w:t>
      </w:r>
      <w:r w:rsidRPr="00845725">
        <w:rPr>
          <w:rFonts w:ascii="Times New Roman" w:eastAsia="Calibri" w:hAnsi="Times New Roman" w:cs="Times New Roman"/>
          <w:i/>
          <w:iCs/>
          <w:kern w:val="0"/>
          <w14:ligatures w14:val="none"/>
        </w:rPr>
        <w:t>See Newton v. Diamond</w:t>
      </w:r>
      <w:r w:rsidRPr="00845725">
        <w:rPr>
          <w:rFonts w:ascii="Times New Roman" w:eastAsia="Calibri" w:hAnsi="Times New Roman" w:cs="Times New Roman"/>
          <w:kern w:val="0"/>
          <w14:ligatures w14:val="none"/>
        </w:rPr>
        <w:t xml:space="preserve">, 388 F.3d 1189, 1193 (9th Cir. 2004); </w:t>
      </w:r>
      <w:r w:rsidRPr="00845725">
        <w:rPr>
          <w:rFonts w:ascii="Times New Roman" w:eastAsia="Calibri" w:hAnsi="Times New Roman" w:cs="Times New Roman"/>
          <w:i/>
          <w:iCs/>
          <w:kern w:val="0"/>
          <w14:ligatures w14:val="none"/>
        </w:rPr>
        <w:t xml:space="preserve">Apple </w:t>
      </w:r>
      <w:proofErr w:type="spellStart"/>
      <w:r w:rsidRPr="00845725">
        <w:rPr>
          <w:rFonts w:ascii="Times New Roman" w:eastAsia="Calibri" w:hAnsi="Times New Roman" w:cs="Times New Roman"/>
          <w:i/>
          <w:iCs/>
          <w:kern w:val="0"/>
          <w14:ligatures w14:val="none"/>
        </w:rPr>
        <w:t>Comput</w:t>
      </w:r>
      <w:proofErr w:type="spellEnd"/>
      <w:r w:rsidRPr="00845725">
        <w:rPr>
          <w:rFonts w:ascii="Times New Roman" w:eastAsia="Calibri" w:hAnsi="Times New Roman" w:cs="Times New Roman"/>
          <w:i/>
          <w:iCs/>
          <w:kern w:val="0"/>
          <w14:ligatures w14:val="none"/>
        </w:rPr>
        <w:t>.</w:t>
      </w:r>
      <w:r w:rsidRPr="00845725">
        <w:rPr>
          <w:rFonts w:ascii="Times New Roman" w:eastAsia="Calibri" w:hAnsi="Times New Roman" w:cs="Times New Roman"/>
          <w:kern w:val="0"/>
          <w14:ligatures w14:val="none"/>
        </w:rPr>
        <w:t xml:space="preserve">, 35 F.3d at 1442; </w:t>
      </w:r>
      <w:r w:rsidRPr="00845725">
        <w:rPr>
          <w:rFonts w:ascii="Times New Roman" w:eastAsia="Calibri" w:hAnsi="Times New Roman" w:cs="Times New Roman"/>
          <w:i/>
          <w:iCs/>
          <w:kern w:val="0"/>
          <w14:ligatures w14:val="none"/>
        </w:rPr>
        <w:t>Fisher v. Dees</w:t>
      </w:r>
      <w:r w:rsidRPr="00845725">
        <w:rPr>
          <w:rFonts w:ascii="Times New Roman" w:eastAsia="Calibri" w:hAnsi="Times New Roman" w:cs="Times New Roman"/>
          <w:kern w:val="0"/>
          <w14:ligatures w14:val="none"/>
        </w:rPr>
        <w:t xml:space="preserve">, 794 F.2d 432, 434 n.2 (9th Cir. 1986). Expert </w:t>
      </w:r>
      <w:r w:rsidRPr="00845725">
        <w:rPr>
          <w:rFonts w:ascii="Times New Roman" w:eastAsia="Calibri" w:hAnsi="Times New Roman" w:cs="Times New Roman"/>
          <w:kern w:val="0"/>
          <w14:ligatures w14:val="none"/>
        </w:rPr>
        <w:lastRenderedPageBreak/>
        <w:t xml:space="preserve">testimony is inappropriate to aid the jury in applying the intrinsic test. </w:t>
      </w:r>
      <w:r w:rsidRPr="00845725">
        <w:rPr>
          <w:rFonts w:ascii="Times New Roman" w:eastAsia="Calibri" w:hAnsi="Times New Roman" w:cs="Times New Roman"/>
          <w:i/>
          <w:iCs/>
          <w:kern w:val="0"/>
          <w14:ligatures w14:val="none"/>
        </w:rPr>
        <w:t xml:space="preserve">Olson v. </w:t>
      </w:r>
      <w:proofErr w:type="spellStart"/>
      <w:r w:rsidRPr="00845725">
        <w:rPr>
          <w:rFonts w:ascii="Times New Roman" w:eastAsia="Calibri" w:hAnsi="Times New Roman" w:cs="Times New Roman"/>
          <w:i/>
          <w:iCs/>
          <w:kern w:val="0"/>
          <w14:ligatures w14:val="none"/>
        </w:rPr>
        <w:t>Nat’l</w:t>
      </w:r>
      <w:proofErr w:type="spellEnd"/>
      <w:r w:rsidRPr="00845725">
        <w:rPr>
          <w:rFonts w:ascii="Times New Roman" w:eastAsia="Calibri" w:hAnsi="Times New Roman" w:cs="Times New Roman"/>
          <w:i/>
          <w:iCs/>
          <w:kern w:val="0"/>
          <w14:ligatures w14:val="none"/>
        </w:rPr>
        <w:t xml:space="preserve"> Broad. Co., Inc.</w:t>
      </w:r>
      <w:r w:rsidRPr="00845725">
        <w:rPr>
          <w:rFonts w:ascii="Times New Roman" w:eastAsia="Calibri" w:hAnsi="Times New Roman" w:cs="Times New Roman"/>
          <w:kern w:val="0"/>
          <w14:ligatures w14:val="none"/>
        </w:rPr>
        <w:t xml:space="preserve">, 855 F.2d 1446, 1449 (9th Cir. 1988); </w:t>
      </w:r>
      <w:r w:rsidRPr="00845725">
        <w:rPr>
          <w:rFonts w:ascii="Times New Roman" w:eastAsia="Calibri" w:hAnsi="Times New Roman" w:cs="Times New Roman"/>
          <w:i/>
          <w:iCs/>
          <w:kern w:val="0"/>
          <w14:ligatures w14:val="none"/>
        </w:rPr>
        <w:t>Antonick</w:t>
      </w:r>
      <w:r w:rsidRPr="00845725">
        <w:rPr>
          <w:rFonts w:ascii="Times New Roman" w:eastAsia="Calibri" w:hAnsi="Times New Roman" w:cs="Times New Roman"/>
          <w:kern w:val="0"/>
          <w14:ligatures w14:val="none"/>
        </w:rPr>
        <w:t>, 841 F.3d at 1066.</w:t>
      </w:r>
    </w:p>
    <w:p w14:paraId="5528E41E" w14:textId="77777777" w:rsidR="00E5150B" w:rsidRPr="00845725" w:rsidRDefault="00E5150B" w:rsidP="00E5150B">
      <w:pPr>
        <w:autoSpaceDE w:val="0"/>
        <w:autoSpaceDN w:val="0"/>
        <w:adjustRightInd w:val="0"/>
        <w:spacing w:after="0" w:line="240" w:lineRule="auto"/>
        <w:ind w:firstLine="720"/>
        <w:rPr>
          <w:rFonts w:ascii="Times New Roman" w:eastAsia="Calibri" w:hAnsi="Times New Roman" w:cs="Times New Roman"/>
          <w:kern w:val="0"/>
          <w14:ligatures w14:val="none"/>
        </w:rPr>
      </w:pPr>
    </w:p>
    <w:p w14:paraId="1CC439A1" w14:textId="77777777" w:rsidR="00E5150B" w:rsidRPr="00845725" w:rsidRDefault="00E5150B" w:rsidP="00E5150B">
      <w:pPr>
        <w:autoSpaceDE w:val="0"/>
        <w:autoSpaceDN w:val="0"/>
        <w:adjustRightInd w:val="0"/>
        <w:spacing w:after="0" w:line="240" w:lineRule="auto"/>
        <w:ind w:firstLine="720"/>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2EE38A17"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6A355B76"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Literary or Dramatic Works</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Shaw v. </w:t>
      </w:r>
      <w:proofErr w:type="spellStart"/>
      <w:r w:rsidRPr="00845725">
        <w:rPr>
          <w:rFonts w:ascii="Times New Roman" w:eastAsia="Calibri" w:hAnsi="Times New Roman" w:cs="Times New Roman"/>
          <w:i/>
          <w:iCs/>
          <w:kern w:val="0"/>
          <w14:ligatures w14:val="none"/>
        </w:rPr>
        <w:t>Lindheim</w:t>
      </w:r>
      <w:proofErr w:type="spellEnd"/>
      <w:r w:rsidRPr="00845725">
        <w:rPr>
          <w:rFonts w:ascii="Times New Roman" w:eastAsia="Calibri" w:hAnsi="Times New Roman" w:cs="Times New Roman"/>
          <w:kern w:val="0"/>
          <w14:ligatures w14:val="none"/>
        </w:rPr>
        <w:t>, 919 F.2d 1353, 1357 (9th Cir. 1990);</w:t>
      </w:r>
      <w:r w:rsidRPr="00845725">
        <w:rPr>
          <w:rFonts w:ascii="Times New Roman" w:eastAsia="Calibri" w:hAnsi="Times New Roman" w:cs="Times New Roman"/>
          <w:i/>
          <w:iCs/>
          <w:kern w:val="0"/>
          <w14:ligatures w14:val="none"/>
        </w:rPr>
        <w:t xml:space="preserve"> Sid &amp; Marty Krofft Television Prods. v. McDonald’s Corp.</w:t>
      </w:r>
      <w:r w:rsidRPr="00845725">
        <w:rPr>
          <w:rFonts w:ascii="Times New Roman" w:eastAsia="Calibri" w:hAnsi="Times New Roman" w:cs="Times New Roman"/>
          <w:kern w:val="0"/>
          <w14:ligatures w14:val="none"/>
        </w:rPr>
        <w:t xml:space="preserve">, 562 F.2d 1157, 1164 (9th Cir. 1977) (holding that commercials infringed television production; applying specific criteria to assessment of substantial similarity); </w:t>
      </w:r>
      <w:r w:rsidRPr="00845725">
        <w:rPr>
          <w:rFonts w:ascii="Times New Roman" w:eastAsia="Calibri" w:hAnsi="Times New Roman" w:cs="Times New Roman"/>
          <w:i/>
          <w:iCs/>
          <w:kern w:val="0"/>
          <w14:ligatures w14:val="none"/>
        </w:rPr>
        <w:t>see also</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 xml:space="preserve">Corbello v. </w:t>
      </w:r>
      <w:r w:rsidRPr="00845725">
        <w:rPr>
          <w:rFonts w:ascii="Times New Roman" w:eastAsia="Calibri" w:hAnsi="Times New Roman" w:cs="Times New Roman"/>
          <w:kern w:val="0"/>
          <w14:ligatures w14:val="none"/>
        </w:rPr>
        <w:t xml:space="preserve">Valli, 974 F.3d 965, 975 (9th Cir. 2020) (applying extrinsic test for similarity to elements of challenged work that are undisputedly factual); </w:t>
      </w:r>
      <w:r w:rsidRPr="00845725">
        <w:rPr>
          <w:rFonts w:ascii="Times New Roman" w:eastAsia="Calibri" w:hAnsi="Times New Roman" w:cs="Times New Roman"/>
          <w:i/>
          <w:iCs/>
          <w:kern w:val="0"/>
          <w14:ligatures w14:val="none"/>
        </w:rPr>
        <w:t>Metcalf v. Bochco</w:t>
      </w:r>
      <w:r w:rsidRPr="00845725">
        <w:rPr>
          <w:rFonts w:ascii="Times New Roman" w:eastAsia="Calibri" w:hAnsi="Times New Roman" w:cs="Times New Roman"/>
          <w:kern w:val="0"/>
          <w14:ligatures w14:val="none"/>
        </w:rPr>
        <w:t xml:space="preserve">, 294 F.3d 1069, 1073-74 (9th Cir. 2002) (applying </w:t>
      </w:r>
      <w:r w:rsidRPr="00845725">
        <w:rPr>
          <w:rFonts w:ascii="Times New Roman" w:eastAsia="Calibri" w:hAnsi="Times New Roman" w:cs="Times New Roman"/>
          <w:i/>
          <w:iCs/>
          <w:kern w:val="0"/>
          <w14:ligatures w14:val="none"/>
        </w:rPr>
        <w:t xml:space="preserve">Shaw </w:t>
      </w:r>
      <w:r w:rsidRPr="00845725">
        <w:rPr>
          <w:rFonts w:ascii="Times New Roman" w:eastAsia="Calibri" w:hAnsi="Times New Roman" w:cs="Times New Roman"/>
          <w:kern w:val="0"/>
          <w14:ligatures w14:val="none"/>
        </w:rPr>
        <w:t>factors applied to screenplay for television show);</w:t>
      </w:r>
      <w:r w:rsidRPr="00845725">
        <w:rPr>
          <w:rFonts w:ascii="Times New Roman" w:eastAsia="Calibri" w:hAnsi="Times New Roman" w:cs="Times New Roman"/>
          <w:i/>
          <w:iCs/>
          <w:kern w:val="0"/>
          <w14:ligatures w14:val="none"/>
        </w:rPr>
        <w:t xml:space="preserve"> Pasillas v. McDonald’s Corp.</w:t>
      </w:r>
      <w:r w:rsidRPr="00845725">
        <w:rPr>
          <w:rFonts w:ascii="Times New Roman" w:eastAsia="Calibri" w:hAnsi="Times New Roman" w:cs="Times New Roman"/>
          <w:kern w:val="0"/>
          <w14:ligatures w14:val="none"/>
        </w:rPr>
        <w:t xml:space="preserve">, 927 F.2d 440, 442-43 (9th Cir. 1991) (noting that </w:t>
      </w:r>
      <w:r w:rsidRPr="00845725">
        <w:rPr>
          <w:rFonts w:ascii="Times New Roman" w:eastAsia="Calibri" w:hAnsi="Times New Roman" w:cs="Times New Roman"/>
          <w:i/>
          <w:iCs/>
          <w:kern w:val="0"/>
          <w14:ligatures w14:val="none"/>
        </w:rPr>
        <w:t>Shaw</w:t>
      </w:r>
      <w:r w:rsidRPr="00845725">
        <w:rPr>
          <w:rFonts w:ascii="Times New Roman" w:eastAsia="Calibri" w:hAnsi="Times New Roman" w:cs="Times New Roman"/>
          <w:kern w:val="0"/>
          <w14:ligatures w14:val="none"/>
        </w:rPr>
        <w:t xml:space="preserve"> “is explicitly limited to literary works” and </w:t>
      </w:r>
      <w:r w:rsidRPr="00845725">
        <w:rPr>
          <w:rFonts w:ascii="Times New Roman" w:eastAsia="Calibri" w:hAnsi="Times New Roman" w:cs="Times New Roman"/>
          <w:i/>
          <w:iCs/>
          <w:kern w:val="0"/>
          <w14:ligatures w14:val="none"/>
        </w:rPr>
        <w:t>Krofft</w:t>
      </w:r>
      <w:r w:rsidRPr="00845725">
        <w:rPr>
          <w:rFonts w:ascii="Times New Roman" w:eastAsia="Calibri" w:hAnsi="Times New Roman" w:cs="Times New Roman"/>
          <w:kern w:val="0"/>
          <w14:ligatures w14:val="none"/>
        </w:rPr>
        <w:t xml:space="preserve"> test is still applicable to other than dramatic or literary works).</w:t>
      </w:r>
    </w:p>
    <w:p w14:paraId="1C02A62B"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r>
    </w:p>
    <w:p w14:paraId="2CAD9378"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Musical Compositions</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Gray</w:t>
      </w:r>
      <w:r w:rsidRPr="00845725">
        <w:rPr>
          <w:rFonts w:ascii="Times New Roman" w:eastAsia="Calibri" w:hAnsi="Times New Roman" w:cs="Times New Roman"/>
          <w:kern w:val="0"/>
          <w14:ligatures w14:val="none"/>
        </w:rPr>
        <w:t xml:space="preserve">, 28 F.4th at 97 (applying extrinsic test and noting that protection for original expression does not extend to ideas, concepts, common or trite musical elements, or commonplace elements firmly rooted in genre’s tradition) (citing </w:t>
      </w:r>
      <w:r w:rsidRPr="00845725">
        <w:rPr>
          <w:rFonts w:ascii="Times New Roman" w:eastAsia="Calibri" w:hAnsi="Times New Roman" w:cs="Times New Roman"/>
          <w:i/>
          <w:iCs/>
          <w:kern w:val="0"/>
          <w14:ligatures w14:val="none"/>
        </w:rPr>
        <w:t>Skidmore</w:t>
      </w:r>
      <w:r w:rsidRPr="00845725">
        <w:rPr>
          <w:rFonts w:ascii="Times New Roman" w:eastAsia="Calibri" w:hAnsi="Times New Roman" w:cs="Times New Roman"/>
          <w:kern w:val="0"/>
          <w14:ligatures w14:val="none"/>
        </w:rPr>
        <w:t>, 952 F.3d at 1069));</w:t>
      </w:r>
      <w:r w:rsidRPr="00845725">
        <w:rPr>
          <w:rFonts w:ascii="Times New Roman" w:eastAsia="Calibri" w:hAnsi="Times New Roman" w:cs="Times New Roman"/>
          <w:i/>
          <w:iCs/>
          <w:kern w:val="0"/>
          <w14:ligatures w14:val="none"/>
        </w:rPr>
        <w:t xml:space="preserve"> Swirsky v. Carey</w:t>
      </w:r>
      <w:r w:rsidRPr="00845725">
        <w:rPr>
          <w:rFonts w:ascii="Times New Roman" w:eastAsia="Calibri" w:hAnsi="Times New Roman" w:cs="Times New Roman"/>
          <w:kern w:val="0"/>
          <w14:ligatures w14:val="none"/>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5725">
        <w:rPr>
          <w:rFonts w:ascii="Times New Roman" w:eastAsia="Calibri" w:hAnsi="Times New Roman" w:cs="Times New Roman"/>
          <w:i/>
          <w:iCs/>
          <w:kern w:val="0"/>
          <w14:ligatures w14:val="none"/>
        </w:rPr>
        <w:t>Newton</w:t>
      </w:r>
      <w:r w:rsidRPr="00845725">
        <w:rPr>
          <w:rFonts w:ascii="Times New Roman" w:eastAsia="Calibri" w:hAnsi="Times New Roman" w:cs="Times New Roman"/>
          <w:kern w:val="0"/>
          <w14:ligatures w14:val="none"/>
        </w:rPr>
        <w:t>, 388 F.3d at 1196  (noting musical elements);</w:t>
      </w:r>
      <w:r w:rsidRPr="00845725">
        <w:rPr>
          <w:rFonts w:ascii="Times New Roman" w:eastAsia="Calibri" w:hAnsi="Times New Roman" w:cs="Times New Roman"/>
          <w:i/>
          <w:iCs/>
          <w:kern w:val="0"/>
          <w14:ligatures w14:val="none"/>
        </w:rPr>
        <w:t xml:space="preserve"> Three Boys Music Corp. v. Bolton</w:t>
      </w:r>
      <w:r w:rsidRPr="00845725">
        <w:rPr>
          <w:rFonts w:ascii="Times New Roman" w:eastAsia="Calibri" w:hAnsi="Times New Roman" w:cs="Times New Roman"/>
          <w:kern w:val="0"/>
          <w14:ligatures w14:val="none"/>
        </w:rPr>
        <w:t xml:space="preserve">, 212 F.3d 477, 485-86 (9th Cir. 2000) (identifying “areas” of similarity of musical works); </w:t>
      </w:r>
      <w:r w:rsidRPr="00845725">
        <w:rPr>
          <w:rFonts w:ascii="Times New Roman" w:eastAsia="Calibri" w:hAnsi="Times New Roman" w:cs="Times New Roman"/>
          <w:i/>
          <w:iCs/>
          <w:kern w:val="0"/>
          <w14:ligatures w14:val="none"/>
        </w:rPr>
        <w:t>Williams</w:t>
      </w:r>
      <w:r w:rsidRPr="00845725">
        <w:rPr>
          <w:rFonts w:ascii="Times New Roman" w:eastAsia="Calibri" w:hAnsi="Times New Roman" w:cs="Times New Roman"/>
          <w:kern w:val="0"/>
          <w14:ligatures w14:val="none"/>
        </w:rPr>
        <w:t xml:space="preserve">, 885 F.3d at 1164 (noting that musical compositions are not “confined to a narrow range of expression”). In </w:t>
      </w:r>
      <w:r w:rsidRPr="00845725">
        <w:rPr>
          <w:rFonts w:ascii="Times New Roman" w:eastAsia="Calibri" w:hAnsi="Times New Roman" w:cs="Times New Roman"/>
          <w:i/>
          <w:iCs/>
          <w:kern w:val="0"/>
          <w14:ligatures w14:val="none"/>
        </w:rPr>
        <w:t>Skidmore</w:t>
      </w:r>
      <w:r w:rsidRPr="00845725">
        <w:rPr>
          <w:rFonts w:ascii="Times New Roman" w:eastAsia="Calibri" w:hAnsi="Times New Roman" w:cs="Times New Roman"/>
          <w:kern w:val="0"/>
          <w14:ligatures w14:val="none"/>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5725">
        <w:rPr>
          <w:rFonts w:ascii="Times New Roman" w:eastAsia="Calibri" w:hAnsi="Times New Roman" w:cs="Times New Roman"/>
          <w:i/>
          <w:iCs/>
          <w:kern w:val="0"/>
          <w14:ligatures w14:val="none"/>
        </w:rPr>
        <w:t>Gray</w:t>
      </w:r>
      <w:r w:rsidRPr="00845725">
        <w:rPr>
          <w:rFonts w:ascii="Times New Roman" w:eastAsia="Calibri" w:hAnsi="Times New Roman" w:cs="Times New Roman"/>
          <w:kern w:val="0"/>
          <w14:ligatures w14:val="none"/>
        </w:rPr>
        <w:t xml:space="preserve">, 28 F.4th at 101 (quoting </w:t>
      </w:r>
      <w:r w:rsidRPr="00845725">
        <w:rPr>
          <w:rFonts w:ascii="Times New Roman" w:eastAsia="Calibri" w:hAnsi="Times New Roman" w:cs="Times New Roman"/>
          <w:i/>
          <w:iCs/>
          <w:kern w:val="0"/>
          <w14:ligatures w14:val="none"/>
        </w:rPr>
        <w:t>Satava v. Lowry</w:t>
      </w:r>
      <w:r w:rsidRPr="00845725">
        <w:rPr>
          <w:rFonts w:ascii="Times New Roman" w:eastAsia="Calibri" w:hAnsi="Times New Roman" w:cs="Times New Roman"/>
          <w:kern w:val="0"/>
          <w14:ligatures w14:val="none"/>
        </w:rPr>
        <w:t>, 323 F.3d 805, 811 (9th Cir. 2003)).</w:t>
      </w:r>
    </w:p>
    <w:p w14:paraId="19FF1FE3"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6B771144"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 xml:space="preserve">Choreographic Works: </w:t>
      </w:r>
      <w:r w:rsidRPr="00845725">
        <w:rPr>
          <w:rFonts w:ascii="Times New Roman" w:eastAsia="Calibri" w:hAnsi="Times New Roman" w:cs="Times New Roman"/>
          <w:i/>
          <w:iCs/>
          <w:kern w:val="0"/>
          <w14:ligatures w14:val="none"/>
        </w:rPr>
        <w:t>Hanagami v. Epic Games, Inc.</w:t>
      </w:r>
      <w:r w:rsidRPr="00845725">
        <w:rPr>
          <w:rFonts w:ascii="Times New Roman" w:eastAsia="Calibri" w:hAnsi="Times New Roman" w:cs="Times New Roman"/>
          <w:kern w:val="0"/>
          <w14:ligatures w14:val="none"/>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DE5AAF"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5A49C483"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Moveable and Manipulable Sculptural Works</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Tangle, Inc. v. Aritzia, Inc.,</w:t>
      </w:r>
      <w:r w:rsidRPr="00845725">
        <w:rPr>
          <w:rFonts w:ascii="Times New Roman" w:eastAsia="Calibri" w:hAnsi="Times New Roman" w:cs="Times New Roman"/>
          <w:kern w:val="0"/>
          <w14:ligatures w14:val="none"/>
        </w:rPr>
        <w:t xml:space="preserve"> 125 F.4th 991, 996 (9th Cir. 2025) (explaining that a toy manufacturer’s kinetic and manipulable sculptural works were sufficiently “‘fixed’ in a tangible medium” of expression to be entitled to copyright </w:t>
      </w:r>
      <w:r w:rsidRPr="00845725">
        <w:rPr>
          <w:rFonts w:ascii="Times New Roman" w:eastAsia="Calibri" w:hAnsi="Times New Roman" w:cs="Times New Roman"/>
          <w:kern w:val="0"/>
          <w14:ligatures w14:val="none"/>
        </w:rPr>
        <w:lastRenderedPageBreak/>
        <w:t>protection, “even when its pose changes,” analogizing the moveable sculptures to dance, movies, and music).</w:t>
      </w:r>
    </w:p>
    <w:p w14:paraId="5B04C6BB"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6148D869"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Computer Programs and Similar Technologies</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i/>
          <w:iCs/>
          <w:kern w:val="0"/>
          <w14:ligatures w14:val="none"/>
        </w:rPr>
        <w:t xml:space="preserve"> Apple </w:t>
      </w:r>
      <w:proofErr w:type="spellStart"/>
      <w:r w:rsidRPr="00845725">
        <w:rPr>
          <w:rFonts w:ascii="Times New Roman" w:eastAsia="Calibri" w:hAnsi="Times New Roman" w:cs="Times New Roman"/>
          <w:i/>
          <w:iCs/>
          <w:kern w:val="0"/>
          <w14:ligatures w14:val="none"/>
        </w:rPr>
        <w:t>Comput</w:t>
      </w:r>
      <w:proofErr w:type="spellEnd"/>
      <w:r w:rsidRPr="00845725">
        <w:rPr>
          <w:rFonts w:ascii="Times New Roman" w:eastAsia="Calibri" w:hAnsi="Times New Roman" w:cs="Times New Roman"/>
          <w:i/>
          <w:iCs/>
          <w:kern w:val="0"/>
          <w14:ligatures w14:val="none"/>
        </w:rPr>
        <w:t>.</w:t>
      </w:r>
      <w:r w:rsidRPr="00845725">
        <w:rPr>
          <w:rFonts w:ascii="Times New Roman" w:eastAsia="Calibri" w:hAnsi="Times New Roman" w:cs="Times New Roman"/>
          <w:kern w:val="0"/>
          <w14:ligatures w14:val="none"/>
        </w:rPr>
        <w:t xml:space="preserve">, 35 F.3d at 1445 (involving audiovisual and literary component of computer program); </w:t>
      </w:r>
      <w:r w:rsidRPr="00845725">
        <w:rPr>
          <w:rFonts w:ascii="Times New Roman" w:eastAsia="Calibri" w:hAnsi="Times New Roman" w:cs="Times New Roman"/>
          <w:i/>
          <w:iCs/>
          <w:kern w:val="0"/>
          <w14:ligatures w14:val="none"/>
        </w:rPr>
        <w:t>Brown Bag Software v. Symantec Corp.</w:t>
      </w:r>
      <w:r w:rsidRPr="00845725">
        <w:rPr>
          <w:rFonts w:ascii="Times New Roman" w:eastAsia="Calibri" w:hAnsi="Times New Roman" w:cs="Times New Roman"/>
          <w:kern w:val="0"/>
          <w14:ligatures w14:val="none"/>
        </w:rPr>
        <w:t>, 960 F.2d 1465, 1477 (9th Cir. 1992) (“[C]</w:t>
      </w:r>
      <w:proofErr w:type="spellStart"/>
      <w:r w:rsidRPr="00845725">
        <w:rPr>
          <w:rFonts w:ascii="Times New Roman" w:eastAsia="Calibri" w:hAnsi="Times New Roman" w:cs="Times New Roman"/>
          <w:kern w:val="0"/>
          <w14:ligatures w14:val="none"/>
        </w:rPr>
        <w:t>omputer</w:t>
      </w:r>
      <w:proofErr w:type="spellEnd"/>
      <w:r w:rsidRPr="00845725">
        <w:rPr>
          <w:rFonts w:ascii="Times New Roman" w:eastAsia="Calibri" w:hAnsi="Times New Roman" w:cs="Times New Roman"/>
          <w:kern w:val="0"/>
          <w14:ligatures w14:val="none"/>
        </w:rPr>
        <w:t xml:space="preserve"> programs are subject to a </w:t>
      </w:r>
      <w:proofErr w:type="spellStart"/>
      <w:r w:rsidRPr="00845725">
        <w:rPr>
          <w:rFonts w:ascii="Times New Roman" w:eastAsia="Calibri" w:hAnsi="Times New Roman" w:cs="Times New Roman"/>
          <w:i/>
          <w:iCs/>
          <w:kern w:val="0"/>
          <w14:ligatures w14:val="none"/>
        </w:rPr>
        <w:t>Shawtype</w:t>
      </w:r>
      <w:proofErr w:type="spellEnd"/>
      <w:r w:rsidRPr="00845725">
        <w:rPr>
          <w:rFonts w:ascii="Times New Roman" w:eastAsia="Calibri" w:hAnsi="Times New Roman" w:cs="Times New Roman"/>
          <w:i/>
          <w:iCs/>
          <w:kern w:val="0"/>
          <w14:ligatures w14:val="none"/>
        </w:rPr>
        <w:t xml:space="preserve"> analytic dissection of various standard components</w:t>
      </w:r>
      <w:r w:rsidRPr="00845725">
        <w:rPr>
          <w:rFonts w:ascii="Times New Roman" w:eastAsia="Calibri" w:hAnsi="Times New Roman" w:cs="Times New Roman"/>
          <w:kern w:val="0"/>
          <w14:ligatures w14:val="none"/>
        </w:rPr>
        <w:t xml:space="preserve">, e.g., screens, menus, and keystrokes”); </w:t>
      </w:r>
      <w:r w:rsidRPr="00845725">
        <w:rPr>
          <w:rFonts w:ascii="Times New Roman" w:eastAsia="Calibri" w:hAnsi="Times New Roman" w:cs="Times New Roman"/>
          <w:i/>
          <w:iCs/>
          <w:kern w:val="0"/>
          <w14:ligatures w14:val="none"/>
        </w:rPr>
        <w:t>Data</w:t>
      </w:r>
      <w:r w:rsidRPr="00845725">
        <w:rPr>
          <w:rFonts w:ascii="Times New Roman" w:eastAsia="Calibri" w:hAnsi="Times New Roman" w:cs="Times New Roman"/>
          <w:kern w:val="0"/>
          <w14:ligatures w14:val="none"/>
        </w:rPr>
        <w:t xml:space="preserve">, 862 F.2d at 210 (9th Cir. 1988) (involving home-computer karate game); </w:t>
      </w:r>
      <w:r w:rsidRPr="00845725">
        <w:rPr>
          <w:rFonts w:ascii="Times New Roman" w:eastAsia="Calibri" w:hAnsi="Times New Roman" w:cs="Times New Roman"/>
          <w:i/>
          <w:iCs/>
          <w:kern w:val="0"/>
          <w14:ligatures w14:val="none"/>
        </w:rPr>
        <w:t>Frybarger</w:t>
      </w:r>
      <w:r w:rsidRPr="00845725">
        <w:rPr>
          <w:rFonts w:ascii="Times New Roman" w:eastAsia="Calibri" w:hAnsi="Times New Roman" w:cs="Times New Roman"/>
          <w:kern w:val="0"/>
          <w14:ligatures w14:val="none"/>
        </w:rPr>
        <w:t>, 812 F.2d at 529-30 (involving video game).</w:t>
      </w:r>
    </w:p>
    <w:p w14:paraId="42A3243D"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r>
    </w:p>
    <w:p w14:paraId="07B207D0"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Motion Picture, Television Production, or Copyrighted Script</w:t>
      </w:r>
      <w:r w:rsidRPr="00845725">
        <w:rPr>
          <w:rFonts w:ascii="Times New Roman" w:eastAsia="Calibri" w:hAnsi="Times New Roman" w:cs="Times New Roman"/>
          <w:kern w:val="0"/>
          <w14:ligatures w14:val="none"/>
        </w:rPr>
        <w:t xml:space="preserve">: </w:t>
      </w:r>
      <w:r w:rsidRPr="00845725">
        <w:rPr>
          <w:rFonts w:ascii="Times New Roman" w:eastAsia="Calibri" w:hAnsi="Times New Roman" w:cs="Times New Roman"/>
          <w:i/>
          <w:iCs/>
          <w:kern w:val="0"/>
          <w14:ligatures w14:val="none"/>
        </w:rPr>
        <w:t>Benay v. Warner Bros.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xml:space="preserve">, 607 F.3d 620, 624-29 (2010) (involving movie and screenplay); </w:t>
      </w:r>
      <w:r w:rsidRPr="00845725">
        <w:rPr>
          <w:rFonts w:ascii="Times New Roman" w:eastAsia="Calibri" w:hAnsi="Times New Roman" w:cs="Times New Roman"/>
          <w:i/>
          <w:iCs/>
          <w:kern w:val="0"/>
          <w14:ligatures w14:val="none"/>
        </w:rPr>
        <w:t>Funky Films, Inc. v. Time Warner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xml:space="preserve"> Co., L.P.</w:t>
      </w:r>
      <w:r w:rsidRPr="00845725">
        <w:rPr>
          <w:rFonts w:ascii="Times New Roman" w:eastAsia="Calibri" w:hAnsi="Times New Roman" w:cs="Times New Roman"/>
          <w:kern w:val="0"/>
          <w14:ligatures w14:val="none"/>
        </w:rPr>
        <w:t xml:space="preserve">, 462 F.3d 1072, 1076-77 (9th Cir. 2006) (involving screenplay and television series); </w:t>
      </w:r>
      <w:r w:rsidRPr="00845725">
        <w:rPr>
          <w:rFonts w:ascii="Times New Roman" w:eastAsia="Calibri" w:hAnsi="Times New Roman" w:cs="Times New Roman"/>
          <w:i/>
          <w:iCs/>
          <w:kern w:val="0"/>
          <w14:ligatures w14:val="none"/>
        </w:rPr>
        <w:t>Rice v. Fox Broad. Co.</w:t>
      </w:r>
      <w:r w:rsidRPr="00845725">
        <w:rPr>
          <w:rFonts w:ascii="Times New Roman" w:eastAsia="Calibri" w:hAnsi="Times New Roman" w:cs="Times New Roman"/>
          <w:kern w:val="0"/>
          <w14:ligatures w14:val="none"/>
        </w:rPr>
        <w:t xml:space="preserve">, 330 F.3d 1170, 1177-78 (9th Cir. 2003) (involving video and television specials); </w:t>
      </w:r>
      <w:r w:rsidRPr="00845725">
        <w:rPr>
          <w:rFonts w:ascii="Times New Roman" w:eastAsia="Calibri" w:hAnsi="Times New Roman" w:cs="Times New Roman"/>
          <w:i/>
          <w:iCs/>
          <w:kern w:val="0"/>
          <w14:ligatures w14:val="none"/>
        </w:rPr>
        <w:t>Metcalf v. Bochco</w:t>
      </w:r>
      <w:r w:rsidRPr="00845725">
        <w:rPr>
          <w:rFonts w:ascii="Times New Roman" w:eastAsia="Calibri" w:hAnsi="Times New Roman" w:cs="Times New Roman"/>
          <w:kern w:val="0"/>
          <w14:ligatures w14:val="none"/>
        </w:rPr>
        <w:t xml:space="preserve">, 294 F.3d 1069 (9th Cir. 2002) (involving screenplay and television series); </w:t>
      </w:r>
      <w:proofErr w:type="spellStart"/>
      <w:r w:rsidRPr="00845725">
        <w:rPr>
          <w:rFonts w:ascii="Times New Roman" w:eastAsia="Calibri" w:hAnsi="Times New Roman" w:cs="Times New Roman"/>
          <w:i/>
          <w:iCs/>
          <w:kern w:val="0"/>
          <w14:ligatures w14:val="none"/>
        </w:rPr>
        <w:t>Berkic</w:t>
      </w:r>
      <w:proofErr w:type="spellEnd"/>
      <w:r w:rsidRPr="00845725">
        <w:rPr>
          <w:rFonts w:ascii="Times New Roman" w:eastAsia="Calibri" w:hAnsi="Times New Roman" w:cs="Times New Roman"/>
          <w:i/>
          <w:iCs/>
          <w:kern w:val="0"/>
          <w14:ligatures w14:val="none"/>
        </w:rPr>
        <w:t xml:space="preserve"> v. Crichton</w:t>
      </w:r>
      <w:r w:rsidRPr="00845725">
        <w:rPr>
          <w:rFonts w:ascii="Times New Roman" w:eastAsia="Calibri" w:hAnsi="Times New Roman" w:cs="Times New Roman"/>
          <w:kern w:val="0"/>
          <w14:ligatures w14:val="none"/>
        </w:rPr>
        <w:t xml:space="preserve">, 761 F.2d 1289, 1293 (9th Cir. 1985) (involving novel and motion picture); </w:t>
      </w:r>
      <w:r w:rsidRPr="00845725">
        <w:rPr>
          <w:rFonts w:ascii="Times New Roman" w:eastAsia="Calibri" w:hAnsi="Times New Roman" w:cs="Times New Roman"/>
          <w:i/>
          <w:iCs/>
          <w:kern w:val="0"/>
          <w14:ligatures w14:val="none"/>
        </w:rPr>
        <w:t>Litchfield v. Spielberg</w:t>
      </w:r>
      <w:r w:rsidRPr="00845725">
        <w:rPr>
          <w:rFonts w:ascii="Times New Roman" w:eastAsia="Calibri" w:hAnsi="Times New Roman" w:cs="Times New Roman"/>
          <w:kern w:val="0"/>
          <w14:ligatures w14:val="none"/>
        </w:rPr>
        <w:t>, 736 F.2d 1352, 1356-57 (9th Cir. 1984) (involving musical play and movie).</w:t>
      </w:r>
    </w:p>
    <w:p w14:paraId="53E26D42"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r>
    </w:p>
    <w:p w14:paraId="30866DBF"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“Other Than Dramatic or Literary Works”</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b/>
          <w:bCs/>
          <w:i/>
          <w:iCs/>
          <w:kern w:val="0"/>
          <w14:ligatures w14:val="none"/>
        </w:rPr>
        <w:t xml:space="preserve"> </w:t>
      </w:r>
      <w:r w:rsidRPr="00845725">
        <w:rPr>
          <w:rFonts w:ascii="Times New Roman" w:eastAsia="Calibri" w:hAnsi="Times New Roman" w:cs="Times New Roman"/>
          <w:i/>
          <w:iCs/>
          <w:kern w:val="0"/>
          <w14:ligatures w14:val="none"/>
        </w:rPr>
        <w:t>Malibu Textiles, Inc., v. Label Lane Int’l, Inc</w:t>
      </w:r>
      <w:r w:rsidRPr="00845725">
        <w:rPr>
          <w:rFonts w:ascii="Times New Roman" w:eastAsia="Calibri" w:hAnsi="Times New Roman" w:cs="Times New Roman"/>
          <w:kern w:val="0"/>
          <w14:ligatures w14:val="none"/>
        </w:rPr>
        <w:t>.,</w:t>
      </w:r>
    </w:p>
    <w:p w14:paraId="302CFA06"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922 F.3d 946 (9th Cir. 2019) (involving original selection, coordination, and arrangement of</w:t>
      </w:r>
    </w:p>
    <w:p w14:paraId="48809684"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 xml:space="preserve">floral-pattern-printed fabric); </w:t>
      </w:r>
      <w:r w:rsidRPr="00845725">
        <w:rPr>
          <w:rFonts w:ascii="Times New Roman" w:eastAsia="Calibri" w:hAnsi="Times New Roman" w:cs="Times New Roman"/>
          <w:i/>
          <w:iCs/>
          <w:kern w:val="0"/>
          <w14:ligatures w14:val="none"/>
        </w:rPr>
        <w:t xml:space="preserve">L.A. </w:t>
      </w:r>
      <w:proofErr w:type="spellStart"/>
      <w:r w:rsidRPr="00845725">
        <w:rPr>
          <w:rFonts w:ascii="Times New Roman" w:eastAsia="Calibri" w:hAnsi="Times New Roman" w:cs="Times New Roman"/>
          <w:i/>
          <w:iCs/>
          <w:kern w:val="0"/>
          <w14:ligatures w14:val="none"/>
        </w:rPr>
        <w:t>Printex</w:t>
      </w:r>
      <w:proofErr w:type="spellEnd"/>
      <w:r w:rsidRPr="00845725">
        <w:rPr>
          <w:rFonts w:ascii="Times New Roman" w:eastAsia="Calibri" w:hAnsi="Times New Roman" w:cs="Times New Roman"/>
          <w:i/>
          <w:iCs/>
          <w:kern w:val="0"/>
          <w14:ligatures w14:val="none"/>
        </w:rPr>
        <w:t xml:space="preserve"> Indus., Inc. v. Aeropostale, Inc</w:t>
      </w:r>
      <w:r w:rsidRPr="00845725">
        <w:rPr>
          <w:rFonts w:ascii="Times New Roman" w:eastAsia="Calibri" w:hAnsi="Times New Roman" w:cs="Times New Roman"/>
          <w:kern w:val="0"/>
          <w14:ligatures w14:val="none"/>
        </w:rPr>
        <w:t xml:space="preserve">., 676 F.3d 841, 848-52 (9th Cir. 2012) (same); </w:t>
      </w:r>
      <w:r w:rsidRPr="00845725">
        <w:rPr>
          <w:rFonts w:ascii="Times New Roman" w:eastAsia="Calibri" w:hAnsi="Times New Roman" w:cs="Times New Roman"/>
          <w:i/>
          <w:iCs/>
          <w:kern w:val="0"/>
          <w14:ligatures w14:val="none"/>
        </w:rPr>
        <w:t>Mattel, Inc. v. MGA Ent</w:t>
      </w:r>
      <w:r>
        <w:rPr>
          <w:rFonts w:ascii="Times New Roman" w:eastAsia="Calibri" w:hAnsi="Times New Roman" w:cs="Times New Roman"/>
          <w:i/>
          <w:iCs/>
          <w:kern w:val="0"/>
          <w14:ligatures w14:val="none"/>
        </w:rPr>
        <w:t>.</w:t>
      </w:r>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xml:space="preserve">, 616 F.3d 904, 913-14 (9th Cir. 2010) (involving toy dolls); </w:t>
      </w:r>
      <w:r w:rsidRPr="00845725">
        <w:rPr>
          <w:rFonts w:ascii="Times New Roman" w:eastAsia="Calibri" w:hAnsi="Times New Roman" w:cs="Times New Roman"/>
          <w:i/>
          <w:iCs/>
          <w:kern w:val="0"/>
          <w14:ligatures w14:val="none"/>
        </w:rPr>
        <w:t>Cavalier v. Random House, Inc.</w:t>
      </w:r>
      <w:r w:rsidRPr="00845725">
        <w:rPr>
          <w:rFonts w:ascii="Times New Roman" w:eastAsia="Calibri" w:hAnsi="Times New Roman" w:cs="Times New Roman"/>
          <w:kern w:val="0"/>
          <w14:ligatures w14:val="none"/>
        </w:rPr>
        <w:t xml:space="preserve">, 297 F.3d 815, 826 (9th Cir. 2002) (involving works of visual art); </w:t>
      </w:r>
      <w:r w:rsidRPr="00845725">
        <w:rPr>
          <w:rFonts w:ascii="Times New Roman" w:eastAsia="Calibri" w:hAnsi="Times New Roman" w:cs="Times New Roman"/>
          <w:i/>
          <w:iCs/>
          <w:kern w:val="0"/>
          <w14:ligatures w14:val="none"/>
        </w:rPr>
        <w:t>Sid &amp; Marty Krofft Television Prods.</w:t>
      </w:r>
      <w:r w:rsidRPr="00845725">
        <w:rPr>
          <w:rFonts w:ascii="Times New Roman" w:eastAsia="Calibri" w:hAnsi="Times New Roman" w:cs="Times New Roman"/>
          <w:kern w:val="0"/>
          <w14:ligatures w14:val="none"/>
        </w:rPr>
        <w:t>, 562 F.2d at 1164 (providing dicta concerning application of specific criteria to plaster recreation of nude human figure);</w:t>
      </w:r>
      <w:r w:rsidRPr="00845725">
        <w:rPr>
          <w:rFonts w:ascii="Times New Roman" w:eastAsia="Calibri" w:hAnsi="Times New Roman" w:cs="Times New Roman"/>
          <w:i/>
          <w:iCs/>
          <w:kern w:val="0"/>
          <w14:ligatures w14:val="none"/>
        </w:rPr>
        <w:t xml:space="preserve"> Pasillas</w:t>
      </w:r>
      <w:r w:rsidRPr="00845725">
        <w:rPr>
          <w:rFonts w:ascii="Times New Roman" w:eastAsia="Calibri" w:hAnsi="Times New Roman" w:cs="Times New Roman"/>
          <w:kern w:val="0"/>
          <w14:ligatures w14:val="none"/>
        </w:rPr>
        <w:t xml:space="preserve">, 927 F.2d at 442-43 (noting </w:t>
      </w:r>
      <w:r w:rsidRPr="00845725">
        <w:rPr>
          <w:rFonts w:ascii="Times New Roman" w:eastAsia="Calibri" w:hAnsi="Times New Roman" w:cs="Times New Roman"/>
          <w:i/>
          <w:iCs/>
          <w:kern w:val="0"/>
          <w14:ligatures w14:val="none"/>
        </w:rPr>
        <w:t>Krofft</w:t>
      </w:r>
      <w:r w:rsidRPr="00845725">
        <w:rPr>
          <w:rFonts w:ascii="Times New Roman" w:eastAsia="Calibri" w:hAnsi="Times New Roman" w:cs="Times New Roman"/>
          <w:kern w:val="0"/>
          <w14:ligatures w14:val="none"/>
        </w:rPr>
        <w:t xml:space="preserve"> test applicable to other than dramatic or literary works; using test to assess similarity of Halloween mask and mask used in television commercial).</w:t>
      </w:r>
    </w:p>
    <w:p w14:paraId="081B13BC"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kern w:val="0"/>
          <w14:ligatures w14:val="none"/>
        </w:rPr>
        <w:tab/>
      </w:r>
    </w:p>
    <w:p w14:paraId="11D0B53E"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r w:rsidRPr="00845725">
        <w:rPr>
          <w:rFonts w:ascii="Times New Roman" w:eastAsia="Calibri" w:hAnsi="Times New Roman" w:cs="Times New Roman"/>
          <w:b/>
          <w:bCs/>
          <w:kern w:val="0"/>
          <w14:ligatures w14:val="none"/>
        </w:rPr>
        <w:t>“Ordinary Observer” Test</w:t>
      </w:r>
      <w:r w:rsidRPr="00845725">
        <w:rPr>
          <w:rFonts w:ascii="Times New Roman" w:eastAsia="Calibri" w:hAnsi="Times New Roman" w:cs="Times New Roman"/>
          <w:kern w:val="0"/>
          <w14:ligatures w14:val="none"/>
        </w:rPr>
        <w:t>:</w:t>
      </w:r>
      <w:r w:rsidRPr="00845725">
        <w:rPr>
          <w:rFonts w:ascii="Times New Roman" w:eastAsia="Calibri" w:hAnsi="Times New Roman" w:cs="Times New Roman"/>
          <w:b/>
          <w:bCs/>
          <w:kern w:val="0"/>
          <w14:ligatures w14:val="none"/>
        </w:rPr>
        <w:t xml:space="preserve"> </w:t>
      </w:r>
      <w:r w:rsidRPr="00845725">
        <w:rPr>
          <w:rFonts w:ascii="Times New Roman" w:eastAsia="Calibri" w:hAnsi="Times New Roman" w:cs="Times New Roman"/>
          <w:i/>
          <w:iCs/>
          <w:kern w:val="0"/>
          <w14:ligatures w14:val="none"/>
        </w:rPr>
        <w:t xml:space="preserve">Micro Star v. </w:t>
      </w:r>
      <w:proofErr w:type="spellStart"/>
      <w:r w:rsidRPr="00845725">
        <w:rPr>
          <w:rFonts w:ascii="Times New Roman" w:eastAsia="Calibri" w:hAnsi="Times New Roman" w:cs="Times New Roman"/>
          <w:i/>
          <w:iCs/>
          <w:kern w:val="0"/>
          <w14:ligatures w14:val="none"/>
        </w:rPr>
        <w:t>Formgen</w:t>
      </w:r>
      <w:proofErr w:type="spellEnd"/>
      <w:r w:rsidRPr="00845725">
        <w:rPr>
          <w:rFonts w:ascii="Times New Roman" w:eastAsia="Calibri" w:hAnsi="Times New Roman" w:cs="Times New Roman"/>
          <w:i/>
          <w:iCs/>
          <w:kern w:val="0"/>
          <w14:ligatures w14:val="none"/>
        </w:rPr>
        <w:t>, Inc.</w:t>
      </w:r>
      <w:r w:rsidRPr="00845725">
        <w:rPr>
          <w:rFonts w:ascii="Times New Roman" w:eastAsia="Calibri" w:hAnsi="Times New Roman" w:cs="Times New Roman"/>
          <w:kern w:val="0"/>
          <w14:ligatures w14:val="none"/>
        </w:rPr>
        <w:t xml:space="preserve">, 154 F.3d 1107, 1112 (9th Cir. 1998) (applying ordinary reasonable person standard); </w:t>
      </w:r>
      <w:r w:rsidRPr="00845725">
        <w:rPr>
          <w:rFonts w:ascii="Times New Roman" w:eastAsia="Calibri" w:hAnsi="Times New Roman" w:cs="Times New Roman"/>
          <w:i/>
          <w:iCs/>
          <w:kern w:val="0"/>
          <w14:ligatures w14:val="none"/>
        </w:rPr>
        <w:t>see also</w:t>
      </w:r>
      <w:r w:rsidRPr="00845725">
        <w:rPr>
          <w:rFonts w:ascii="Times New Roman" w:eastAsia="Calibri" w:hAnsi="Times New Roman" w:cs="Times New Roman"/>
          <w:kern w:val="0"/>
          <w14:ligatures w14:val="none"/>
        </w:rPr>
        <w:t> </w:t>
      </w:r>
      <w:r w:rsidRPr="00845725">
        <w:rPr>
          <w:rFonts w:ascii="Times New Roman" w:eastAsia="Calibri" w:hAnsi="Times New Roman" w:cs="Times New Roman"/>
          <w:i/>
          <w:iCs/>
          <w:kern w:val="0"/>
          <w14:ligatures w14:val="none"/>
        </w:rPr>
        <w:t xml:space="preserve">L.A. </w:t>
      </w:r>
      <w:proofErr w:type="spellStart"/>
      <w:r w:rsidRPr="00845725">
        <w:rPr>
          <w:rFonts w:ascii="Times New Roman" w:eastAsia="Calibri" w:hAnsi="Times New Roman" w:cs="Times New Roman"/>
          <w:i/>
          <w:iCs/>
          <w:kern w:val="0"/>
          <w14:ligatures w14:val="none"/>
        </w:rPr>
        <w:t>Printex</w:t>
      </w:r>
      <w:proofErr w:type="spellEnd"/>
      <w:r w:rsidRPr="00845725">
        <w:rPr>
          <w:rFonts w:ascii="Times New Roman" w:eastAsia="Calibri" w:hAnsi="Times New Roman" w:cs="Times New Roman"/>
          <w:i/>
          <w:iCs/>
          <w:kern w:val="0"/>
          <w14:ligatures w14:val="none"/>
        </w:rPr>
        <w:t xml:space="preserve"> Indus., Inc.</w:t>
      </w:r>
      <w:r w:rsidRPr="00845725">
        <w:rPr>
          <w:rFonts w:ascii="Times New Roman" w:eastAsia="Calibri" w:hAnsi="Times New Roman" w:cs="Times New Roman"/>
          <w:kern w:val="0"/>
          <w14:ligatures w14:val="none"/>
        </w:rPr>
        <w:t xml:space="preserve">, 676 F.3d at 852 (involving fabric designs); </w:t>
      </w:r>
      <w:r w:rsidRPr="00845725">
        <w:rPr>
          <w:rFonts w:ascii="Times New Roman" w:eastAsia="Calibri" w:hAnsi="Times New Roman" w:cs="Times New Roman"/>
          <w:i/>
          <w:iCs/>
          <w:kern w:val="0"/>
          <w14:ligatures w14:val="none"/>
        </w:rPr>
        <w:t>Johnson Controls</w:t>
      </w:r>
      <w:r w:rsidRPr="00845725">
        <w:rPr>
          <w:rFonts w:ascii="Times New Roman" w:eastAsia="Calibri" w:hAnsi="Times New Roman" w:cs="Times New Roman"/>
          <w:kern w:val="0"/>
          <w14:ligatures w14:val="none"/>
        </w:rPr>
        <w:t xml:space="preserve">, 886 F.2d at 1176 n.4 (involving computer software), </w:t>
      </w:r>
      <w:r w:rsidRPr="00845725">
        <w:rPr>
          <w:rFonts w:ascii="Times New Roman" w:eastAsia="Calibri" w:hAnsi="Times New Roman" w:cs="Times New Roman"/>
          <w:i/>
          <w:iCs/>
          <w:kern w:val="0"/>
          <w14:ligatures w14:val="none"/>
        </w:rPr>
        <w:t>implied overruling on other grounds recognized by Perfect 10, Inc. v. Google, Inc</w:t>
      </w:r>
      <w:r w:rsidRPr="00845725">
        <w:rPr>
          <w:rFonts w:ascii="Times New Roman" w:eastAsia="Calibri" w:hAnsi="Times New Roman" w:cs="Times New Roman"/>
          <w:kern w:val="0"/>
          <w14:ligatures w14:val="none"/>
        </w:rPr>
        <w:t xml:space="preserve">., 653 F.3d 976, 979 (9th Cir. 2011); </w:t>
      </w:r>
      <w:r w:rsidRPr="00845725">
        <w:rPr>
          <w:rFonts w:ascii="Times New Roman" w:eastAsia="Calibri" w:hAnsi="Times New Roman" w:cs="Times New Roman"/>
          <w:i/>
          <w:iCs/>
          <w:kern w:val="0"/>
          <w14:ligatures w14:val="none"/>
        </w:rPr>
        <w:t>Data</w:t>
      </w:r>
      <w:r w:rsidRPr="00845725">
        <w:rPr>
          <w:rFonts w:ascii="Times New Roman" w:eastAsia="Calibri" w:hAnsi="Times New Roman" w:cs="Times New Roman"/>
          <w:kern w:val="0"/>
          <w14:ligatures w14:val="none"/>
        </w:rPr>
        <w:t xml:space="preserve">, 862 F.2d at 209-10 (discussing intended audience); </w:t>
      </w:r>
      <w:r w:rsidRPr="00845725">
        <w:rPr>
          <w:rFonts w:ascii="Times New Roman" w:eastAsia="Calibri" w:hAnsi="Times New Roman" w:cs="Times New Roman"/>
          <w:i/>
          <w:iCs/>
          <w:kern w:val="0"/>
          <w14:ligatures w14:val="none"/>
        </w:rPr>
        <w:t>Aliotti v. R. Dakin &amp; Co.</w:t>
      </w:r>
      <w:r w:rsidRPr="00845725">
        <w:rPr>
          <w:rFonts w:ascii="Times New Roman" w:eastAsia="Calibri" w:hAnsi="Times New Roman" w:cs="Times New Roman"/>
          <w:kern w:val="0"/>
          <w14:ligatures w14:val="none"/>
        </w:rPr>
        <w:t xml:space="preserve">, 831 F.2d 898, 902 (9th Cir. 1987) (involving perception of children); </w:t>
      </w:r>
      <w:proofErr w:type="spellStart"/>
      <w:r w:rsidRPr="00845725">
        <w:rPr>
          <w:rFonts w:ascii="Times New Roman" w:eastAsia="Calibri" w:hAnsi="Times New Roman" w:cs="Times New Roman"/>
          <w:i/>
          <w:iCs/>
          <w:kern w:val="0"/>
          <w14:ligatures w14:val="none"/>
        </w:rPr>
        <w:t>Berkic</w:t>
      </w:r>
      <w:proofErr w:type="spellEnd"/>
      <w:r w:rsidRPr="00845725">
        <w:rPr>
          <w:rFonts w:ascii="Times New Roman" w:eastAsia="Calibri" w:hAnsi="Times New Roman" w:cs="Times New Roman"/>
          <w:kern w:val="0"/>
          <w14:ligatures w14:val="none"/>
        </w:rPr>
        <w:t>, 761 F.2d at 1293 (discussing reasonable reader or moviegoer)</w:t>
      </w:r>
      <w:r w:rsidRPr="000E4371">
        <w:rPr>
          <w:rFonts w:ascii="Times New Roman" w:eastAsia="Calibri" w:hAnsi="Times New Roman" w:cs="Times New Roman"/>
          <w:kern w:val="0"/>
          <w14:ligatures w14:val="none"/>
        </w:rPr>
        <w:t xml:space="preserve">; </w:t>
      </w:r>
      <w:r w:rsidRPr="000E4371">
        <w:rPr>
          <w:rFonts w:ascii="Times New Roman" w:eastAsia="Calibri" w:hAnsi="Times New Roman" w:cs="Times New Roman"/>
          <w:i/>
          <w:iCs/>
          <w:kern w:val="0"/>
          <w14:ligatures w14:val="none"/>
        </w:rPr>
        <w:t>Rentmeester v. Nike, Inc</w:t>
      </w:r>
      <w:r w:rsidRPr="000E4371">
        <w:rPr>
          <w:rFonts w:ascii="Times New Roman" w:eastAsia="Calibri" w:hAnsi="Times New Roman" w:cs="Times New Roman"/>
          <w:kern w:val="0"/>
          <w14:ligatures w14:val="none"/>
        </w:rPr>
        <w:t xml:space="preserve">., 883 F.3d 1111, 1121-22 (9th Cir. 2018) (involving photograph), </w:t>
      </w:r>
      <w:r w:rsidRPr="000E4371">
        <w:rPr>
          <w:rFonts w:ascii="Times New Roman" w:eastAsia="Calibri" w:hAnsi="Times New Roman" w:cs="Times New Roman"/>
          <w:i/>
          <w:iCs/>
          <w:kern w:val="0"/>
          <w14:ligatures w14:val="none"/>
        </w:rPr>
        <w:t>overruled on other grounds by</w:t>
      </w:r>
      <w:r w:rsidRPr="000E4371">
        <w:rPr>
          <w:rFonts w:ascii="Times New Roman" w:eastAsia="Calibri" w:hAnsi="Times New Roman" w:cs="Times New Roman"/>
          <w:kern w:val="0"/>
          <w14:ligatures w14:val="none"/>
        </w:rPr>
        <w:t xml:space="preserve"> </w:t>
      </w:r>
      <w:r w:rsidRPr="000E4371">
        <w:rPr>
          <w:rFonts w:ascii="Times New Roman" w:eastAsia="Calibri" w:hAnsi="Times New Roman" w:cs="Times New Roman"/>
          <w:i/>
          <w:iCs/>
          <w:kern w:val="0"/>
          <w14:ligatures w14:val="none"/>
        </w:rPr>
        <w:t>Skidmore</w:t>
      </w:r>
      <w:r w:rsidRPr="000E4371">
        <w:rPr>
          <w:rFonts w:ascii="Times New Roman" w:eastAsia="Calibri" w:hAnsi="Times New Roman" w:cs="Times New Roman"/>
          <w:kern w:val="0"/>
          <w14:ligatures w14:val="none"/>
        </w:rPr>
        <w:t>, 952 F3d at 1069</w:t>
      </w:r>
      <w:r w:rsidRPr="00845725">
        <w:rPr>
          <w:rFonts w:ascii="Times New Roman" w:eastAsia="Calibri" w:hAnsi="Times New Roman" w:cs="Times New Roman"/>
          <w:kern w:val="0"/>
          <w14:ligatures w14:val="none"/>
        </w:rPr>
        <w:t>.</w:t>
      </w:r>
    </w:p>
    <w:p w14:paraId="0EC5C9DE"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54DE01EB" w14:textId="77777777" w:rsidR="00E5150B" w:rsidRPr="00845725" w:rsidRDefault="00E5150B" w:rsidP="00E5150B">
      <w:pPr>
        <w:autoSpaceDE w:val="0"/>
        <w:autoSpaceDN w:val="0"/>
        <w:adjustRightInd w:val="0"/>
        <w:spacing w:after="0" w:line="240" w:lineRule="auto"/>
        <w:rPr>
          <w:rFonts w:ascii="Times New Roman" w:eastAsia="Calibri" w:hAnsi="Times New Roman" w:cs="Times New Roman"/>
          <w:kern w:val="0"/>
          <w14:ligatures w14:val="none"/>
        </w:rPr>
      </w:pPr>
    </w:p>
    <w:p w14:paraId="2CEF3292" w14:textId="169DAD71" w:rsidR="00E5150B" w:rsidRPr="00E5150B" w:rsidRDefault="00E5150B" w:rsidP="00E5150B">
      <w:pPr>
        <w:spacing w:after="0" w:line="240" w:lineRule="auto"/>
        <w:jc w:val="right"/>
        <w:rPr>
          <w:rFonts w:ascii="Times New Roman" w:eastAsia="Calibri" w:hAnsi="Times New Roman" w:cs="Times New Roman"/>
          <w:kern w:val="0"/>
          <w14:ligatures w14:val="none"/>
        </w:rPr>
      </w:pPr>
      <w:r w:rsidRPr="00845725">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w:t>
      </w:r>
      <w:r w:rsidRPr="00845725">
        <w:rPr>
          <w:rFonts w:ascii="Times New Roman" w:eastAsia="Calibri" w:hAnsi="Times New Roman" w:cs="Times New Roman"/>
          <w:i/>
          <w:iCs/>
          <w:kern w:val="0"/>
          <w14:ligatures w14:val="none"/>
        </w:rPr>
        <w:t xml:space="preserve"> 2025</w:t>
      </w:r>
    </w:p>
    <w:sectPr w:rsidR="00E5150B" w:rsidRPr="00E5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0B"/>
    <w:rsid w:val="00920AE5"/>
    <w:rsid w:val="00E5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44F1"/>
  <w15:chartTrackingRefBased/>
  <w15:docId w15:val="{FC771A5B-8C60-4257-8CB3-25AEE325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0B"/>
  </w:style>
  <w:style w:type="paragraph" w:styleId="Heading1">
    <w:name w:val="heading 1"/>
    <w:basedOn w:val="Normal"/>
    <w:next w:val="Normal"/>
    <w:link w:val="Heading1Char"/>
    <w:uiPriority w:val="9"/>
    <w:qFormat/>
    <w:rsid w:val="00E5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0B"/>
    <w:rPr>
      <w:rFonts w:eastAsiaTheme="majorEastAsia" w:cstheme="majorBidi"/>
      <w:color w:val="272727" w:themeColor="text1" w:themeTint="D8"/>
    </w:rPr>
  </w:style>
  <w:style w:type="paragraph" w:styleId="Title">
    <w:name w:val="Title"/>
    <w:basedOn w:val="Normal"/>
    <w:next w:val="Normal"/>
    <w:link w:val="TitleChar"/>
    <w:uiPriority w:val="10"/>
    <w:qFormat/>
    <w:rsid w:val="00E5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0B"/>
    <w:pPr>
      <w:spacing w:before="160"/>
      <w:jc w:val="center"/>
    </w:pPr>
    <w:rPr>
      <w:i/>
      <w:iCs/>
      <w:color w:val="404040" w:themeColor="text1" w:themeTint="BF"/>
    </w:rPr>
  </w:style>
  <w:style w:type="character" w:customStyle="1" w:styleId="QuoteChar">
    <w:name w:val="Quote Char"/>
    <w:basedOn w:val="DefaultParagraphFont"/>
    <w:link w:val="Quote"/>
    <w:uiPriority w:val="29"/>
    <w:rsid w:val="00E5150B"/>
    <w:rPr>
      <w:i/>
      <w:iCs/>
      <w:color w:val="404040" w:themeColor="text1" w:themeTint="BF"/>
    </w:rPr>
  </w:style>
  <w:style w:type="paragraph" w:styleId="ListParagraph">
    <w:name w:val="List Paragraph"/>
    <w:basedOn w:val="Normal"/>
    <w:uiPriority w:val="34"/>
    <w:qFormat/>
    <w:rsid w:val="00E5150B"/>
    <w:pPr>
      <w:ind w:left="720"/>
      <w:contextualSpacing/>
    </w:pPr>
  </w:style>
  <w:style w:type="character" w:styleId="IntenseEmphasis">
    <w:name w:val="Intense Emphasis"/>
    <w:basedOn w:val="DefaultParagraphFont"/>
    <w:uiPriority w:val="21"/>
    <w:qFormat/>
    <w:rsid w:val="00E5150B"/>
    <w:rPr>
      <w:i/>
      <w:iCs/>
      <w:color w:val="0F4761" w:themeColor="accent1" w:themeShade="BF"/>
    </w:rPr>
  </w:style>
  <w:style w:type="paragraph" w:styleId="IntenseQuote">
    <w:name w:val="Intense Quote"/>
    <w:basedOn w:val="Normal"/>
    <w:next w:val="Normal"/>
    <w:link w:val="IntenseQuoteChar"/>
    <w:uiPriority w:val="30"/>
    <w:qFormat/>
    <w:rsid w:val="00E5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0B"/>
    <w:rPr>
      <w:i/>
      <w:iCs/>
      <w:color w:val="0F4761" w:themeColor="accent1" w:themeShade="BF"/>
    </w:rPr>
  </w:style>
  <w:style w:type="character" w:styleId="IntenseReference">
    <w:name w:val="Intense Reference"/>
    <w:basedOn w:val="DefaultParagraphFont"/>
    <w:uiPriority w:val="32"/>
    <w:qFormat/>
    <w:rsid w:val="00E51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8457</Characters>
  <Application>Microsoft Office Word</Application>
  <DocSecurity>0</DocSecurity>
  <Lines>70</Lines>
  <Paragraphs>19</Paragraphs>
  <ScaleCrop>false</ScaleCrop>
  <Company>United States Courts</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2025-11-10T05:45:00Z</dcterms:created>
  <dcterms:modified xsi:type="dcterms:W3CDTF">2025-11-10T06:01:00Z</dcterms:modified>
</cp:coreProperties>
</file>