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C7FEB" w14:textId="77777777" w:rsidR="00DF1783" w:rsidRPr="00842D3D" w:rsidRDefault="00DF1783" w:rsidP="00DF1783">
      <w:pPr>
        <w:autoSpaceDE w:val="0"/>
        <w:autoSpaceDN w:val="0"/>
        <w:adjustRightInd w:val="0"/>
        <w:jc w:val="center"/>
        <w:outlineLvl w:val="1"/>
        <w:rPr>
          <w:rFonts w:eastAsia="Calibri" w:cs="Times New Roman"/>
          <w:b/>
          <w:bCs/>
          <w:szCs w:val="24"/>
        </w:rPr>
      </w:pPr>
      <w:bookmarkStart w:id="0" w:name="_Toc214452668"/>
      <w:r w:rsidRPr="00842D3D">
        <w:rPr>
          <w:rFonts w:eastAsia="Calibri" w:cs="Times New Roman"/>
          <w:b/>
          <w:bCs/>
          <w:szCs w:val="24"/>
        </w:rPr>
        <w:t xml:space="preserve">17.20 </w:t>
      </w:r>
      <w:bookmarkStart w:id="1" w:name="_Hlk220947921"/>
      <w:r w:rsidRPr="00842D3D">
        <w:rPr>
          <w:rFonts w:eastAsia="Calibri" w:cs="Times New Roman"/>
          <w:b/>
          <w:bCs/>
          <w:szCs w:val="24"/>
        </w:rPr>
        <w:t>Secondary Liability—Vicarious Infringement—Elements and Burden of Proof</w:t>
      </w:r>
      <w:bookmarkEnd w:id="0"/>
      <w:bookmarkEnd w:id="1"/>
    </w:p>
    <w:p w14:paraId="6D042F43" w14:textId="77777777" w:rsidR="00DF1783" w:rsidRPr="00842D3D" w:rsidRDefault="00DF1783" w:rsidP="00DF1783">
      <w:pPr>
        <w:autoSpaceDE w:val="0"/>
        <w:autoSpaceDN w:val="0"/>
        <w:adjustRightInd w:val="0"/>
        <w:rPr>
          <w:rFonts w:eastAsia="Calibri" w:cs="Times New Roman"/>
          <w:szCs w:val="24"/>
        </w:rPr>
      </w:pPr>
    </w:p>
    <w:p w14:paraId="549615D3" w14:textId="77777777" w:rsidR="00DF1783" w:rsidRPr="00842D3D" w:rsidRDefault="00DF1783" w:rsidP="00DF1783">
      <w:pPr>
        <w:autoSpaceDE w:val="0"/>
        <w:autoSpaceDN w:val="0"/>
        <w:adjustRightInd w:val="0"/>
        <w:rPr>
          <w:rFonts w:eastAsia="Calibri" w:cs="Times New Roman"/>
          <w:szCs w:val="24"/>
        </w:rPr>
      </w:pPr>
      <w:r w:rsidRPr="00842D3D">
        <w:rPr>
          <w:rFonts w:eastAsia="Calibri" w:cs="Times New Roman"/>
          <w:szCs w:val="24"/>
        </w:rPr>
        <w:tab/>
        <w:t>If you find that [</w:t>
      </w:r>
      <w:r w:rsidRPr="00842D3D">
        <w:rPr>
          <w:rFonts w:eastAsia="Calibri" w:cs="Times New Roman"/>
          <w:i/>
          <w:iCs/>
          <w:szCs w:val="24"/>
          <w:u w:val="single"/>
        </w:rPr>
        <w:t>name of direct infringer</w:t>
      </w:r>
      <w:r w:rsidRPr="00842D3D">
        <w:rPr>
          <w:rFonts w:eastAsia="Calibri" w:cs="Times New Roman"/>
          <w:szCs w:val="24"/>
        </w:rPr>
        <w:t>] infringed the plaintiff [</w:t>
      </w:r>
      <w:r w:rsidRPr="00842D3D">
        <w:rPr>
          <w:rFonts w:eastAsia="Calibri" w:cs="Times New Roman"/>
          <w:i/>
          <w:iCs/>
          <w:szCs w:val="24"/>
          <w:u w:val="single"/>
        </w:rPr>
        <w:t>name</w:t>
      </w:r>
      <w:r w:rsidRPr="00842D3D">
        <w:rPr>
          <w:rFonts w:eastAsia="Calibri" w:cs="Times New Roman"/>
          <w:szCs w:val="24"/>
        </w:rPr>
        <w:t>]’s copyright in [</w:t>
      </w:r>
      <w:r w:rsidRPr="00842D3D">
        <w:rPr>
          <w:rFonts w:eastAsia="Calibri" w:cs="Times New Roman"/>
          <w:i/>
          <w:iCs/>
          <w:szCs w:val="24"/>
          <w:u w:val="single"/>
        </w:rPr>
        <w:t>name of allegedly infringed work</w:t>
      </w:r>
      <w:r w:rsidRPr="00842D3D">
        <w:rPr>
          <w:rFonts w:eastAsia="Calibri" w:cs="Times New Roman"/>
          <w:szCs w:val="24"/>
        </w:rPr>
        <w:t>], you must determine whether [</w:t>
      </w:r>
      <w:r w:rsidRPr="00842D3D">
        <w:rPr>
          <w:rFonts w:eastAsia="Calibri" w:cs="Times New Roman"/>
          <w:i/>
          <w:iCs/>
          <w:szCs w:val="24"/>
          <w:u w:val="single"/>
        </w:rPr>
        <w:t>name of alleged vicarious infringer</w:t>
      </w:r>
      <w:r w:rsidRPr="00842D3D">
        <w:rPr>
          <w:rFonts w:eastAsia="Calibri" w:cs="Times New Roman"/>
          <w:szCs w:val="24"/>
        </w:rPr>
        <w:t>] vicariously infringed that copyright. The plaintiff [</w:t>
      </w:r>
      <w:r w:rsidRPr="00842D3D">
        <w:rPr>
          <w:rFonts w:eastAsia="Calibri" w:cs="Times New Roman"/>
          <w:i/>
          <w:iCs/>
          <w:szCs w:val="24"/>
          <w:u w:val="single"/>
        </w:rPr>
        <w:t>name</w:t>
      </w:r>
      <w:r w:rsidRPr="00842D3D">
        <w:rPr>
          <w:rFonts w:eastAsia="Calibri" w:cs="Times New Roman"/>
          <w:szCs w:val="24"/>
        </w:rPr>
        <w:t>] has the burden of proving each of the following elements by a preponderance of the evidence:</w:t>
      </w:r>
    </w:p>
    <w:p w14:paraId="1CD01C7E" w14:textId="77777777" w:rsidR="00DF1783" w:rsidRPr="00842D3D" w:rsidRDefault="00DF1783" w:rsidP="00DF1783">
      <w:pPr>
        <w:autoSpaceDE w:val="0"/>
        <w:autoSpaceDN w:val="0"/>
        <w:adjustRightInd w:val="0"/>
        <w:rPr>
          <w:rFonts w:eastAsia="Calibri" w:cs="Times New Roman"/>
          <w:szCs w:val="24"/>
        </w:rPr>
      </w:pPr>
    </w:p>
    <w:p w14:paraId="76E1C345" w14:textId="77777777" w:rsidR="00DF1783" w:rsidRPr="00842D3D" w:rsidRDefault="00DF1783" w:rsidP="00DF1783">
      <w:pPr>
        <w:autoSpaceDE w:val="0"/>
        <w:autoSpaceDN w:val="0"/>
        <w:adjustRightInd w:val="0"/>
        <w:ind w:firstLine="720"/>
        <w:rPr>
          <w:rFonts w:eastAsia="Calibri" w:cs="Times New Roman"/>
          <w:szCs w:val="24"/>
        </w:rPr>
      </w:pPr>
      <w:r w:rsidRPr="00842D3D">
        <w:rPr>
          <w:rFonts w:eastAsia="Calibri" w:cs="Times New Roman"/>
          <w:szCs w:val="24"/>
        </w:rPr>
        <w:t>First, the defendant [</w:t>
      </w:r>
      <w:r w:rsidRPr="00842D3D">
        <w:rPr>
          <w:rFonts w:eastAsia="Calibri" w:cs="Times New Roman"/>
          <w:i/>
          <w:iCs/>
          <w:szCs w:val="24"/>
          <w:u w:val="single"/>
        </w:rPr>
        <w:t>name</w:t>
      </w:r>
      <w:r w:rsidRPr="00842D3D">
        <w:rPr>
          <w:rFonts w:eastAsia="Calibri" w:cs="Times New Roman"/>
          <w:szCs w:val="24"/>
        </w:rPr>
        <w:t>] directly benefitted financially from the infringing activity of [</w:t>
      </w:r>
      <w:r w:rsidRPr="00842D3D">
        <w:rPr>
          <w:rFonts w:eastAsia="Calibri" w:cs="Times New Roman"/>
          <w:i/>
          <w:iCs/>
          <w:szCs w:val="24"/>
          <w:u w:val="single"/>
        </w:rPr>
        <w:t>name of direct infringer</w:t>
      </w:r>
      <w:proofErr w:type="gramStart"/>
      <w:r w:rsidRPr="00842D3D">
        <w:rPr>
          <w:rFonts w:eastAsia="Calibri" w:cs="Times New Roman"/>
          <w:szCs w:val="24"/>
        </w:rPr>
        <w:t>];</w:t>
      </w:r>
      <w:proofErr w:type="gramEnd"/>
    </w:p>
    <w:p w14:paraId="4E0D226E" w14:textId="77777777" w:rsidR="00DF1783" w:rsidRPr="00842D3D" w:rsidRDefault="00DF1783" w:rsidP="00DF1783">
      <w:pPr>
        <w:autoSpaceDE w:val="0"/>
        <w:autoSpaceDN w:val="0"/>
        <w:adjustRightInd w:val="0"/>
        <w:ind w:firstLine="720"/>
        <w:rPr>
          <w:rFonts w:eastAsia="Calibri" w:cs="Times New Roman"/>
          <w:szCs w:val="24"/>
        </w:rPr>
      </w:pPr>
    </w:p>
    <w:p w14:paraId="68EEB33F" w14:textId="77777777" w:rsidR="00DF1783" w:rsidRPr="00842D3D" w:rsidRDefault="00DF1783" w:rsidP="00DF1783">
      <w:pPr>
        <w:autoSpaceDE w:val="0"/>
        <w:autoSpaceDN w:val="0"/>
        <w:adjustRightInd w:val="0"/>
        <w:ind w:firstLine="720"/>
        <w:rPr>
          <w:rFonts w:eastAsia="Calibri" w:cs="Times New Roman"/>
          <w:szCs w:val="24"/>
        </w:rPr>
      </w:pPr>
      <w:r w:rsidRPr="00842D3D">
        <w:rPr>
          <w:rFonts w:eastAsia="Calibri" w:cs="Times New Roman"/>
          <w:szCs w:val="24"/>
        </w:rPr>
        <w:t>Second, the defendant [</w:t>
      </w:r>
      <w:r w:rsidRPr="00842D3D">
        <w:rPr>
          <w:rFonts w:eastAsia="Calibri" w:cs="Times New Roman"/>
          <w:i/>
          <w:iCs/>
          <w:szCs w:val="24"/>
          <w:u w:val="single"/>
        </w:rPr>
        <w:t>name</w:t>
      </w:r>
      <w:r w:rsidRPr="00842D3D">
        <w:rPr>
          <w:rFonts w:eastAsia="Calibri" w:cs="Times New Roman"/>
          <w:szCs w:val="24"/>
        </w:rPr>
        <w:t>] had the right and ability to [supervise] [control] the infringing activity of [</w:t>
      </w:r>
      <w:r w:rsidRPr="00842D3D">
        <w:rPr>
          <w:rFonts w:eastAsia="Calibri" w:cs="Times New Roman"/>
          <w:i/>
          <w:iCs/>
          <w:szCs w:val="24"/>
          <w:u w:val="single"/>
        </w:rPr>
        <w:t xml:space="preserve">name of direct </w:t>
      </w:r>
      <w:proofErr w:type="gramStart"/>
      <w:r w:rsidRPr="00842D3D">
        <w:rPr>
          <w:rFonts w:eastAsia="Calibri" w:cs="Times New Roman"/>
          <w:i/>
          <w:iCs/>
          <w:szCs w:val="24"/>
          <w:u w:val="single"/>
        </w:rPr>
        <w:t>infringer</w:t>
      </w:r>
      <w:r w:rsidRPr="00842D3D">
        <w:rPr>
          <w:rFonts w:eastAsia="Calibri" w:cs="Times New Roman"/>
          <w:szCs w:val="24"/>
        </w:rPr>
        <w:t>][</w:t>
      </w:r>
      <w:proofErr w:type="gramEnd"/>
      <w:r w:rsidRPr="00842D3D">
        <w:rPr>
          <w:rFonts w:eastAsia="Calibri" w:cs="Times New Roman"/>
          <w:szCs w:val="24"/>
        </w:rPr>
        <w:t xml:space="preserve">; and] </w:t>
      </w:r>
    </w:p>
    <w:p w14:paraId="285F5733" w14:textId="77777777" w:rsidR="00DF1783" w:rsidRPr="00842D3D" w:rsidRDefault="00DF1783" w:rsidP="00DF1783">
      <w:pPr>
        <w:autoSpaceDE w:val="0"/>
        <w:autoSpaceDN w:val="0"/>
        <w:adjustRightInd w:val="0"/>
        <w:ind w:firstLine="720"/>
        <w:rPr>
          <w:rFonts w:eastAsia="Calibri" w:cs="Times New Roman"/>
          <w:szCs w:val="24"/>
        </w:rPr>
      </w:pPr>
    </w:p>
    <w:p w14:paraId="6CA0F4CD" w14:textId="77777777" w:rsidR="00DF1783" w:rsidRPr="00842D3D" w:rsidRDefault="00DF1783" w:rsidP="00DF1783">
      <w:pPr>
        <w:autoSpaceDE w:val="0"/>
        <w:autoSpaceDN w:val="0"/>
        <w:adjustRightInd w:val="0"/>
        <w:ind w:firstLine="720"/>
        <w:rPr>
          <w:rFonts w:eastAsia="Calibri" w:cs="Times New Roman"/>
          <w:szCs w:val="24"/>
        </w:rPr>
      </w:pPr>
      <w:r w:rsidRPr="00842D3D">
        <w:rPr>
          <w:rFonts w:eastAsia="Calibri" w:cs="Times New Roman"/>
          <w:szCs w:val="24"/>
        </w:rPr>
        <w:t>[Third, the defendant [</w:t>
      </w:r>
      <w:r w:rsidRPr="00842D3D">
        <w:rPr>
          <w:rFonts w:eastAsia="Calibri" w:cs="Times New Roman"/>
          <w:i/>
          <w:iCs/>
          <w:szCs w:val="24"/>
          <w:u w:val="single"/>
        </w:rPr>
        <w:t>name</w:t>
      </w:r>
      <w:r w:rsidRPr="00842D3D">
        <w:rPr>
          <w:rFonts w:eastAsia="Calibri" w:cs="Times New Roman"/>
          <w:szCs w:val="24"/>
        </w:rPr>
        <w:t>] failed to exercise that right and ability.]</w:t>
      </w:r>
    </w:p>
    <w:p w14:paraId="75DC3BEE" w14:textId="77777777" w:rsidR="00DF1783" w:rsidRPr="00842D3D" w:rsidRDefault="00DF1783" w:rsidP="00DF1783">
      <w:pPr>
        <w:autoSpaceDE w:val="0"/>
        <w:autoSpaceDN w:val="0"/>
        <w:adjustRightInd w:val="0"/>
        <w:rPr>
          <w:rFonts w:eastAsia="Calibri" w:cs="Times New Roman"/>
          <w:szCs w:val="24"/>
        </w:rPr>
      </w:pPr>
    </w:p>
    <w:p w14:paraId="1CF40330" w14:textId="77777777" w:rsidR="00DF1783" w:rsidRPr="00842D3D" w:rsidRDefault="00DF1783" w:rsidP="00DF1783">
      <w:pPr>
        <w:autoSpaceDE w:val="0"/>
        <w:autoSpaceDN w:val="0"/>
        <w:adjustRightInd w:val="0"/>
        <w:rPr>
          <w:rFonts w:eastAsia="Calibri" w:cs="Times New Roman"/>
          <w:szCs w:val="24"/>
        </w:rPr>
      </w:pPr>
      <w:r w:rsidRPr="00842D3D">
        <w:rPr>
          <w:rFonts w:eastAsia="Calibri" w:cs="Times New Roman"/>
          <w:szCs w:val="24"/>
        </w:rPr>
        <w:tab/>
        <w:t>If you find that the plaintiff [</w:t>
      </w:r>
      <w:r w:rsidRPr="00842D3D">
        <w:rPr>
          <w:rFonts w:eastAsia="Calibri" w:cs="Times New Roman"/>
          <w:i/>
          <w:iCs/>
          <w:szCs w:val="24"/>
          <w:u w:val="single"/>
        </w:rPr>
        <w:t>name</w:t>
      </w:r>
      <w:r w:rsidRPr="00842D3D">
        <w:rPr>
          <w:rFonts w:eastAsia="Calibri" w:cs="Times New Roman"/>
          <w:szCs w:val="24"/>
        </w:rPr>
        <w:t>] has proved each of these elements, your verdict should be for the plaintiff [</w:t>
      </w:r>
      <w:r w:rsidRPr="00842D3D">
        <w:rPr>
          <w:rFonts w:eastAsia="Calibri" w:cs="Times New Roman"/>
          <w:i/>
          <w:iCs/>
          <w:szCs w:val="24"/>
          <w:u w:val="single"/>
        </w:rPr>
        <w:t>name</w:t>
      </w:r>
      <w:r w:rsidRPr="00842D3D">
        <w:rPr>
          <w:rFonts w:eastAsia="Calibri" w:cs="Times New Roman"/>
          <w:szCs w:val="24"/>
        </w:rPr>
        <w:t>] if you also find that [</w:t>
      </w:r>
      <w:r w:rsidRPr="00842D3D">
        <w:rPr>
          <w:rFonts w:eastAsia="Calibri" w:cs="Times New Roman"/>
          <w:i/>
          <w:iCs/>
          <w:szCs w:val="24"/>
          <w:u w:val="single"/>
        </w:rPr>
        <w:t>name of direct infringer</w:t>
      </w:r>
      <w:r w:rsidRPr="00842D3D">
        <w:rPr>
          <w:rFonts w:eastAsia="Calibri" w:cs="Times New Roman"/>
          <w:szCs w:val="24"/>
        </w:rPr>
        <w:t>] infringed plaintiff [</w:t>
      </w:r>
      <w:r w:rsidRPr="00842D3D">
        <w:rPr>
          <w:rFonts w:eastAsia="Calibri" w:cs="Times New Roman"/>
          <w:i/>
          <w:iCs/>
          <w:szCs w:val="24"/>
          <w:u w:val="single"/>
        </w:rPr>
        <w:t>name</w:t>
      </w:r>
      <w:r w:rsidRPr="00842D3D">
        <w:rPr>
          <w:rFonts w:eastAsia="Calibri" w:cs="Times New Roman"/>
          <w:szCs w:val="24"/>
        </w:rPr>
        <w:t>]’s copyright. If, on the other hand, the plaintiff [</w:t>
      </w:r>
      <w:r w:rsidRPr="00842D3D">
        <w:rPr>
          <w:rFonts w:eastAsia="Calibri" w:cs="Times New Roman"/>
          <w:i/>
          <w:iCs/>
          <w:szCs w:val="24"/>
          <w:u w:val="single"/>
        </w:rPr>
        <w:t>name</w:t>
      </w:r>
      <w:r w:rsidRPr="00842D3D">
        <w:rPr>
          <w:rFonts w:eastAsia="Calibri" w:cs="Times New Roman"/>
          <w:szCs w:val="24"/>
        </w:rPr>
        <w:t>] has failed to prove any of these elements, your verdict should be for the defendant [</w:t>
      </w:r>
      <w:r w:rsidRPr="00842D3D">
        <w:rPr>
          <w:rFonts w:eastAsia="Calibri" w:cs="Times New Roman"/>
          <w:i/>
          <w:iCs/>
          <w:szCs w:val="24"/>
          <w:u w:val="single"/>
        </w:rPr>
        <w:t>name of alleged vicarious infringer</w:t>
      </w:r>
      <w:r w:rsidRPr="00842D3D">
        <w:rPr>
          <w:rFonts w:eastAsia="Calibri" w:cs="Times New Roman"/>
          <w:szCs w:val="24"/>
        </w:rPr>
        <w:t>].</w:t>
      </w:r>
    </w:p>
    <w:p w14:paraId="582B074D" w14:textId="77777777" w:rsidR="00DF1783" w:rsidRPr="00842D3D" w:rsidRDefault="00DF1783" w:rsidP="00DF1783">
      <w:pPr>
        <w:autoSpaceDE w:val="0"/>
        <w:autoSpaceDN w:val="0"/>
        <w:adjustRightInd w:val="0"/>
        <w:rPr>
          <w:rFonts w:eastAsia="Calibri" w:cs="Times New Roman"/>
          <w:szCs w:val="24"/>
        </w:rPr>
      </w:pPr>
    </w:p>
    <w:p w14:paraId="05C3FE07" w14:textId="77777777" w:rsidR="00DF1783" w:rsidRPr="00842D3D" w:rsidRDefault="00DF1783" w:rsidP="00DF1783">
      <w:pPr>
        <w:autoSpaceDE w:val="0"/>
        <w:autoSpaceDN w:val="0"/>
        <w:adjustRightInd w:val="0"/>
        <w:jc w:val="center"/>
        <w:rPr>
          <w:rFonts w:eastAsia="Calibri" w:cs="Times New Roman"/>
          <w:szCs w:val="24"/>
        </w:rPr>
      </w:pPr>
      <w:r w:rsidRPr="00842D3D">
        <w:rPr>
          <w:rFonts w:eastAsia="Calibri" w:cs="Times New Roman"/>
          <w:b/>
          <w:bCs/>
          <w:szCs w:val="24"/>
        </w:rPr>
        <w:t>Comment</w:t>
      </w:r>
    </w:p>
    <w:p w14:paraId="4AF4F8FB" w14:textId="77777777" w:rsidR="00DF1783" w:rsidRPr="00842D3D" w:rsidRDefault="00DF1783" w:rsidP="00DF1783">
      <w:pPr>
        <w:autoSpaceDE w:val="0"/>
        <w:autoSpaceDN w:val="0"/>
        <w:adjustRightInd w:val="0"/>
        <w:rPr>
          <w:rFonts w:eastAsia="Calibri" w:cs="Times New Roman"/>
          <w:szCs w:val="24"/>
        </w:rPr>
      </w:pPr>
    </w:p>
    <w:p w14:paraId="330095FE" w14:textId="77777777" w:rsidR="00DF1783" w:rsidRPr="00842D3D" w:rsidRDefault="00DF1783" w:rsidP="00DF1783">
      <w:pPr>
        <w:autoSpaceDE w:val="0"/>
        <w:autoSpaceDN w:val="0"/>
        <w:adjustRightInd w:val="0"/>
        <w:rPr>
          <w:rFonts w:eastAsia="Calibri" w:cs="Times New Roman"/>
          <w:szCs w:val="24"/>
        </w:rPr>
      </w:pPr>
      <w:r w:rsidRPr="00842D3D">
        <w:rPr>
          <w:rFonts w:eastAsia="Calibri" w:cs="Times New Roman"/>
          <w:szCs w:val="24"/>
        </w:rPr>
        <w:tab/>
        <w:t xml:space="preserve">Copyright law “allows imposition of liability when the defendant profits directly from the infringement and has a right and ability to supervise the direct infringer, even if the defendant initially lacks knowledge of the infringement.” </w:t>
      </w:r>
      <w:r w:rsidRPr="00842D3D">
        <w:rPr>
          <w:rFonts w:eastAsia="Calibri" w:cs="Times New Roman"/>
          <w:i/>
          <w:iCs/>
          <w:szCs w:val="24"/>
        </w:rPr>
        <w:t xml:space="preserve">Metro-Goldwyn-Mayer Studios Inc. v. </w:t>
      </w:r>
      <w:proofErr w:type="spellStart"/>
      <w:r w:rsidRPr="00842D3D">
        <w:rPr>
          <w:rFonts w:eastAsia="Calibri" w:cs="Times New Roman"/>
          <w:i/>
          <w:iCs/>
          <w:szCs w:val="24"/>
        </w:rPr>
        <w:t>Grokster</w:t>
      </w:r>
      <w:proofErr w:type="spellEnd"/>
      <w:r w:rsidRPr="00842D3D">
        <w:rPr>
          <w:rFonts w:eastAsia="Calibri" w:cs="Times New Roman"/>
          <w:i/>
          <w:iCs/>
          <w:szCs w:val="24"/>
        </w:rPr>
        <w:t>, Ltd.</w:t>
      </w:r>
      <w:r w:rsidRPr="00842D3D">
        <w:rPr>
          <w:rFonts w:eastAsia="Calibri" w:cs="Times New Roman"/>
          <w:szCs w:val="24"/>
        </w:rPr>
        <w:t xml:space="preserve">, 545 U.S. 913, 930 n.9 (2005); </w:t>
      </w:r>
      <w:r w:rsidRPr="00842D3D">
        <w:rPr>
          <w:rFonts w:eastAsia="Calibri" w:cs="Times New Roman"/>
          <w:i/>
          <w:iCs/>
          <w:szCs w:val="24"/>
        </w:rPr>
        <w:t>see also</w:t>
      </w:r>
      <w:r w:rsidRPr="00842D3D">
        <w:rPr>
          <w:rFonts w:eastAsia="Calibri" w:cs="Times New Roman"/>
          <w:szCs w:val="24"/>
        </w:rPr>
        <w:t xml:space="preserve"> </w:t>
      </w:r>
      <w:r w:rsidRPr="00842D3D">
        <w:rPr>
          <w:rFonts w:eastAsia="Calibri" w:cs="Times New Roman"/>
          <w:i/>
          <w:iCs/>
          <w:szCs w:val="24"/>
        </w:rPr>
        <w:t>Ellison v. Robertson</w:t>
      </w:r>
      <w:r w:rsidRPr="00842D3D">
        <w:rPr>
          <w:rFonts w:eastAsia="Calibri" w:cs="Times New Roman"/>
          <w:szCs w:val="24"/>
        </w:rPr>
        <w:t xml:space="preserve">, 357 F.3d 1072, 1076 (9th Cir. 2004) (“A defendant is vicariously liable for copyright infringement if he enjoys a direct financial benefit from </w:t>
      </w:r>
      <w:r w:rsidRPr="00842D3D">
        <w:rPr>
          <w:rFonts w:eastAsia="Calibri" w:cs="Times New Roman"/>
          <w:i/>
          <w:iCs/>
          <w:szCs w:val="24"/>
        </w:rPr>
        <w:t>another’s</w:t>
      </w:r>
      <w:r w:rsidRPr="00842D3D">
        <w:rPr>
          <w:rFonts w:eastAsia="Calibri" w:cs="Times New Roman"/>
          <w:szCs w:val="24"/>
        </w:rPr>
        <w:t xml:space="preserve"> infringing activity and ‘has the right and ability to supervise’ the infringing activity.” (quoting </w:t>
      </w:r>
      <w:r w:rsidRPr="00842D3D">
        <w:rPr>
          <w:rFonts w:eastAsia="Calibri" w:cs="Times New Roman"/>
          <w:i/>
          <w:iCs/>
          <w:szCs w:val="24"/>
        </w:rPr>
        <w:t>A &amp; M Records, Inc. v. Napster, Inc.</w:t>
      </w:r>
      <w:r w:rsidRPr="00842D3D">
        <w:rPr>
          <w:rFonts w:eastAsia="Calibri" w:cs="Times New Roman"/>
          <w:szCs w:val="24"/>
        </w:rPr>
        <w:t>, 239 F.3d 1004, 1013 (9th Cir. 2001))).</w:t>
      </w:r>
    </w:p>
    <w:p w14:paraId="3886FED3" w14:textId="77777777" w:rsidR="00DF1783" w:rsidRPr="00842D3D" w:rsidRDefault="00DF1783" w:rsidP="00DF1783">
      <w:pPr>
        <w:autoSpaceDE w:val="0"/>
        <w:autoSpaceDN w:val="0"/>
        <w:adjustRightInd w:val="0"/>
        <w:rPr>
          <w:rFonts w:eastAsia="Calibri" w:cs="Times New Roman"/>
          <w:szCs w:val="24"/>
        </w:rPr>
      </w:pPr>
    </w:p>
    <w:p w14:paraId="2DEABE6B" w14:textId="77777777" w:rsidR="00DF1783" w:rsidRPr="00842D3D" w:rsidRDefault="00DF1783" w:rsidP="00DF1783">
      <w:pPr>
        <w:autoSpaceDE w:val="0"/>
        <w:autoSpaceDN w:val="0"/>
        <w:adjustRightInd w:val="0"/>
        <w:rPr>
          <w:rFonts w:eastAsia="Calibri" w:cs="Times New Roman"/>
          <w:szCs w:val="24"/>
        </w:rPr>
      </w:pPr>
      <w:r w:rsidRPr="00842D3D">
        <w:rPr>
          <w:rFonts w:eastAsia="Calibri" w:cs="Times New Roman"/>
          <w:szCs w:val="24"/>
        </w:rPr>
        <w:tab/>
        <w:t xml:space="preserve">In certain cases, it may be appropriate to instruct the jury on the meaning of “right and ability to supervise or control” or “financial benefit” for purposes of vicarious infringement. </w:t>
      </w:r>
      <w:r w:rsidRPr="00842D3D">
        <w:rPr>
          <w:rFonts w:eastAsia="Calibri" w:cs="Times New Roman"/>
          <w:i/>
          <w:iCs/>
          <w:szCs w:val="24"/>
        </w:rPr>
        <w:t>See Napster</w:t>
      </w:r>
      <w:r w:rsidRPr="00842D3D">
        <w:rPr>
          <w:rFonts w:eastAsia="Calibri" w:cs="Times New Roman"/>
          <w:szCs w:val="24"/>
        </w:rPr>
        <w:t xml:space="preserve">, 239 F.3d at 1023-24 (holding that defendant’s ability to block or police use of its internet service is evidence of right and ability to supervise); </w:t>
      </w:r>
      <w:r w:rsidRPr="00842D3D">
        <w:rPr>
          <w:rFonts w:eastAsia="Calibri" w:cs="Times New Roman"/>
          <w:i/>
          <w:iCs/>
          <w:szCs w:val="24"/>
        </w:rPr>
        <w:t xml:space="preserve">Perfect 10, Inc. v. </w:t>
      </w:r>
      <w:proofErr w:type="spellStart"/>
      <w:r w:rsidRPr="00842D3D">
        <w:rPr>
          <w:rFonts w:eastAsia="Calibri" w:cs="Times New Roman"/>
          <w:i/>
          <w:iCs/>
          <w:szCs w:val="24"/>
        </w:rPr>
        <w:t>Giganews</w:t>
      </w:r>
      <w:proofErr w:type="spellEnd"/>
      <w:r w:rsidRPr="00842D3D">
        <w:rPr>
          <w:rFonts w:eastAsia="Calibri" w:cs="Times New Roman"/>
          <w:i/>
          <w:iCs/>
          <w:szCs w:val="24"/>
        </w:rPr>
        <w:t>, Inc.</w:t>
      </w:r>
      <w:r w:rsidRPr="00842D3D">
        <w:rPr>
          <w:rFonts w:eastAsia="Calibri" w:cs="Times New Roman"/>
          <w:szCs w:val="24"/>
        </w:rPr>
        <w:t>, 847 F.3d 657, 673 (9th Cir. 2017) (detailing elements of vicarious infringement in absence of employer-employee relationship).</w:t>
      </w:r>
    </w:p>
    <w:p w14:paraId="2197D994" w14:textId="77777777" w:rsidR="00DF1783" w:rsidRPr="00842D3D" w:rsidRDefault="00DF1783" w:rsidP="00DF1783">
      <w:pPr>
        <w:autoSpaceDE w:val="0"/>
        <w:autoSpaceDN w:val="0"/>
        <w:adjustRightInd w:val="0"/>
        <w:rPr>
          <w:rFonts w:eastAsia="Calibri" w:cs="Times New Roman"/>
          <w:szCs w:val="24"/>
        </w:rPr>
      </w:pPr>
    </w:p>
    <w:p w14:paraId="5982B9E9" w14:textId="77777777" w:rsidR="00DF1783" w:rsidRPr="00842D3D" w:rsidRDefault="00DF1783" w:rsidP="00DF1783">
      <w:pPr>
        <w:autoSpaceDE w:val="0"/>
        <w:autoSpaceDN w:val="0"/>
        <w:adjustRightInd w:val="0"/>
        <w:rPr>
          <w:rFonts w:eastAsia="Calibri" w:cs="Times New Roman"/>
          <w:szCs w:val="24"/>
        </w:rPr>
      </w:pPr>
      <w:r w:rsidRPr="00842D3D">
        <w:rPr>
          <w:rFonts w:eastAsia="Calibri" w:cs="Times New Roman"/>
          <w:szCs w:val="24"/>
        </w:rPr>
        <w:tab/>
        <w:t xml:space="preserve">Vicarious infringement is </w:t>
      </w:r>
      <w:proofErr w:type="gramStart"/>
      <w:r w:rsidRPr="00842D3D">
        <w:rPr>
          <w:rFonts w:eastAsia="Calibri" w:cs="Times New Roman"/>
          <w:szCs w:val="24"/>
        </w:rPr>
        <w:t>most commonly identified</w:t>
      </w:r>
      <w:proofErr w:type="gramEnd"/>
      <w:r w:rsidRPr="00842D3D">
        <w:rPr>
          <w:rFonts w:eastAsia="Calibri" w:cs="Times New Roman"/>
          <w:szCs w:val="24"/>
        </w:rPr>
        <w:t xml:space="preserve"> as having two elements: the defendant must have had both (1) the “right and ability to supervise the infringing activity” and (2) “a direct financial interest” in the activity. </w:t>
      </w:r>
      <w:r w:rsidRPr="00842D3D">
        <w:rPr>
          <w:rFonts w:eastAsia="Calibri" w:cs="Times New Roman"/>
          <w:i/>
          <w:iCs/>
          <w:szCs w:val="24"/>
        </w:rPr>
        <w:t>A&amp;M Records, Inc. v. Napster, Inc</w:t>
      </w:r>
      <w:r w:rsidRPr="00842D3D">
        <w:rPr>
          <w:rFonts w:eastAsia="Calibri" w:cs="Times New Roman"/>
          <w:szCs w:val="24"/>
        </w:rPr>
        <w:t xml:space="preserve">., 239 F.3d 1004, 1022 (9th Cir. 2001); </w:t>
      </w:r>
      <w:r w:rsidRPr="00842D3D">
        <w:rPr>
          <w:rFonts w:eastAsia="Calibri" w:cs="Times New Roman"/>
          <w:i/>
          <w:iCs/>
          <w:szCs w:val="24"/>
        </w:rPr>
        <w:t>see also VHT, Inc. v. Zillow Grp., Inc</w:t>
      </w:r>
      <w:r w:rsidRPr="00842D3D">
        <w:rPr>
          <w:rFonts w:eastAsia="Calibri" w:cs="Times New Roman"/>
          <w:szCs w:val="24"/>
        </w:rPr>
        <w:t xml:space="preserve">., 918 F.3d 723, 745 (9th Cir. 2019). Implicit in the first element is that the defendant could have prevented the infringement but did not. “One . . . infringes vicariously by profiting from direct infringement while declining to exercise a right to stop or limit it.” </w:t>
      </w:r>
      <w:r w:rsidRPr="00842D3D">
        <w:rPr>
          <w:rFonts w:eastAsia="Calibri" w:cs="Times New Roman"/>
          <w:i/>
          <w:iCs/>
          <w:szCs w:val="24"/>
        </w:rPr>
        <w:t>Metro-Goldwyn-Mayer Studios Inc.</w:t>
      </w:r>
      <w:r w:rsidRPr="00842D3D">
        <w:rPr>
          <w:rFonts w:eastAsia="Calibri" w:cs="Times New Roman"/>
          <w:szCs w:val="24"/>
        </w:rPr>
        <w:t xml:space="preserve">, 545 U.S. at 930. “To </w:t>
      </w:r>
      <w:r w:rsidRPr="00842D3D">
        <w:rPr>
          <w:rFonts w:eastAsia="Calibri" w:cs="Times New Roman"/>
          <w:szCs w:val="24"/>
        </w:rPr>
        <w:lastRenderedPageBreak/>
        <w:t xml:space="preserve">escape imposition of vicarious liability, the reserved right to police must be exercised to its fullest extent.” </w:t>
      </w:r>
      <w:r w:rsidRPr="00842D3D">
        <w:rPr>
          <w:rFonts w:eastAsia="Calibri" w:cs="Times New Roman"/>
          <w:i/>
          <w:iCs/>
          <w:szCs w:val="24"/>
        </w:rPr>
        <w:t>A&amp;M Records, Inc</w:t>
      </w:r>
      <w:r w:rsidRPr="00842D3D">
        <w:rPr>
          <w:rFonts w:eastAsia="Calibri" w:cs="Times New Roman"/>
          <w:szCs w:val="24"/>
        </w:rPr>
        <w:t>, 239 F.3d at 1023.</w:t>
      </w:r>
    </w:p>
    <w:p w14:paraId="072313DD" w14:textId="77777777" w:rsidR="00DF1783" w:rsidRPr="00842D3D" w:rsidRDefault="00DF1783" w:rsidP="00DF1783">
      <w:pPr>
        <w:autoSpaceDE w:val="0"/>
        <w:autoSpaceDN w:val="0"/>
        <w:adjustRightInd w:val="0"/>
        <w:rPr>
          <w:rFonts w:eastAsia="Calibri" w:cs="Times New Roman"/>
          <w:szCs w:val="24"/>
        </w:rPr>
      </w:pPr>
    </w:p>
    <w:p w14:paraId="67BDAE32" w14:textId="64025BC9" w:rsidR="00DF1783" w:rsidRPr="00842D3D" w:rsidRDefault="00DF1783" w:rsidP="00DF1783">
      <w:pPr>
        <w:autoSpaceDE w:val="0"/>
        <w:autoSpaceDN w:val="0"/>
        <w:adjustRightInd w:val="0"/>
        <w:rPr>
          <w:rFonts w:eastAsia="Calibri" w:cs="Times New Roman"/>
          <w:szCs w:val="24"/>
        </w:rPr>
      </w:pPr>
      <w:r w:rsidRPr="00842D3D">
        <w:rPr>
          <w:rFonts w:eastAsia="Calibri" w:cs="Times New Roman"/>
          <w:szCs w:val="24"/>
        </w:rPr>
        <w:tab/>
      </w:r>
      <w:r w:rsidRPr="00842D3D">
        <w:rPr>
          <w:rFonts w:eastAsia="Calibri" w:cs="Times New Roman"/>
          <w:b/>
          <w:bCs/>
          <w:szCs w:val="24"/>
        </w:rPr>
        <w:t>Right and Ability to Supervise or Control:</w:t>
      </w:r>
      <w:r w:rsidRPr="00842D3D">
        <w:rPr>
          <w:rFonts w:eastAsia="Calibri" w:cs="Times New Roman"/>
          <w:szCs w:val="24"/>
        </w:rPr>
        <w:t xml:space="preserve"> A defendant’s ability to supervise or control infringing activity is assessed based on the defendant’s actual ability at the time of infringement. </w:t>
      </w:r>
      <w:r w:rsidRPr="00842D3D">
        <w:rPr>
          <w:rFonts w:eastAsia="Calibri" w:cs="Times New Roman"/>
          <w:i/>
          <w:iCs/>
          <w:szCs w:val="24"/>
        </w:rPr>
        <w:t xml:space="preserve">Perfect 10, Inc. v. Visa Int’l Serv. </w:t>
      </w:r>
      <w:proofErr w:type="spellStart"/>
      <w:r w:rsidRPr="00842D3D">
        <w:rPr>
          <w:rFonts w:eastAsia="Calibri" w:cs="Times New Roman"/>
          <w:i/>
          <w:iCs/>
          <w:szCs w:val="24"/>
        </w:rPr>
        <w:t>Ass’n</w:t>
      </w:r>
      <w:proofErr w:type="spellEnd"/>
      <w:r w:rsidRPr="00842D3D">
        <w:rPr>
          <w:rFonts w:eastAsia="Calibri" w:cs="Times New Roman"/>
          <w:szCs w:val="24"/>
        </w:rPr>
        <w:t xml:space="preserve">, 494 F3d 788, 805 (9th Cir. 2007) (“[T]he defendant must have the right and ability to </w:t>
      </w:r>
      <w:r w:rsidRPr="00842D3D">
        <w:rPr>
          <w:rFonts w:eastAsia="Calibri" w:cs="Times New Roman"/>
          <w:i/>
          <w:iCs/>
          <w:szCs w:val="24"/>
        </w:rPr>
        <w:t>supervise</w:t>
      </w:r>
      <w:r w:rsidRPr="00842D3D">
        <w:rPr>
          <w:rFonts w:eastAsia="Calibri" w:cs="Times New Roman"/>
          <w:szCs w:val="24"/>
        </w:rPr>
        <w:t xml:space="preserve"> and </w:t>
      </w:r>
      <w:r w:rsidRPr="00842D3D">
        <w:rPr>
          <w:rFonts w:eastAsia="Calibri" w:cs="Times New Roman"/>
          <w:i/>
          <w:iCs/>
          <w:szCs w:val="24"/>
        </w:rPr>
        <w:t>control</w:t>
      </w:r>
      <w:r w:rsidRPr="00842D3D">
        <w:rPr>
          <w:rFonts w:eastAsia="Calibri" w:cs="Times New Roman"/>
          <w:szCs w:val="24"/>
        </w:rPr>
        <w:t xml:space="preserve"> the infringement, not just affect it </w:t>
      </w:r>
      <w:proofErr w:type="gramStart"/>
      <w:r w:rsidRPr="00842D3D">
        <w:rPr>
          <w:rFonts w:eastAsia="Calibri" w:cs="Times New Roman"/>
          <w:szCs w:val="24"/>
        </w:rPr>
        <w:t>. . . .</w:t>
      </w:r>
      <w:proofErr w:type="gramEnd"/>
      <w:r w:rsidRPr="00842D3D">
        <w:rPr>
          <w:rFonts w:eastAsia="Calibri" w:cs="Times New Roman"/>
          <w:szCs w:val="24"/>
        </w:rPr>
        <w:t xml:space="preserve">”). To show an ability to supervise infringing conduct, a plaintiff must show that the defendant had the technical ability to identify and remove infringements. </w:t>
      </w:r>
      <w:r w:rsidRPr="00842D3D">
        <w:rPr>
          <w:rFonts w:eastAsia="Calibri" w:cs="Times New Roman"/>
          <w:i/>
          <w:iCs/>
          <w:szCs w:val="24"/>
        </w:rPr>
        <w:t>VHT, Inc</w:t>
      </w:r>
      <w:r w:rsidRPr="00842D3D">
        <w:rPr>
          <w:rFonts w:eastAsia="Calibri" w:cs="Times New Roman"/>
          <w:szCs w:val="24"/>
        </w:rPr>
        <w:t xml:space="preserve">., 918 F.3d at 746 (noting defendant’s “failure to change its operations to avoid assisting [users] to distribute . . . infringing content . . . is not the same as declining to exercise a right and ability to make [third parties] stop their direct infringement.” (quoting </w:t>
      </w:r>
      <w:r w:rsidRPr="00842D3D">
        <w:rPr>
          <w:rFonts w:eastAsia="Calibri" w:cs="Times New Roman"/>
          <w:i/>
          <w:iCs/>
          <w:szCs w:val="24"/>
        </w:rPr>
        <w:t>Perfect 10, Inc. v. Amazon.com</w:t>
      </w:r>
      <w:r w:rsidRPr="00842D3D">
        <w:rPr>
          <w:rFonts w:eastAsia="Calibri" w:cs="Times New Roman"/>
          <w:szCs w:val="24"/>
        </w:rPr>
        <w:t>,</w:t>
      </w:r>
      <w:r w:rsidRPr="00842D3D">
        <w:rPr>
          <w:rFonts w:eastAsia="Calibri" w:cs="Times New Roman"/>
          <w:i/>
          <w:iCs/>
          <w:szCs w:val="24"/>
        </w:rPr>
        <w:t xml:space="preserve"> Inc</w:t>
      </w:r>
      <w:r w:rsidRPr="00842D3D">
        <w:rPr>
          <w:rFonts w:eastAsia="Calibri" w:cs="Times New Roman"/>
          <w:szCs w:val="24"/>
        </w:rPr>
        <w:t xml:space="preserve">., 508 F.3d 1146, 1175 (9th Cir. 2007))). </w:t>
      </w:r>
      <w:bookmarkStart w:id="2" w:name="_Hlk221523474"/>
      <w:r w:rsidRPr="00712277">
        <w:rPr>
          <w:u w:color="FF0000"/>
        </w:rPr>
        <w:t>The technical ability to identify and prevent infringements may also be present where a</w:t>
      </w:r>
      <w:r w:rsidRPr="00712277">
        <w:t xml:space="preserve"> </w:t>
      </w:r>
      <w:r w:rsidRPr="00712277">
        <w:rPr>
          <w:u w:color="FF0000"/>
        </w:rPr>
        <w:t>defendant has both a contractual right and the practical ability to supervise and control a contractor’s infringing conduct.</w:t>
      </w:r>
      <w:r w:rsidRPr="00712277">
        <w:t xml:space="preserve"> </w:t>
      </w:r>
      <w:r w:rsidRPr="00712277">
        <w:rPr>
          <w:i/>
          <w:spacing w:val="-2"/>
          <w:u w:color="FF0000"/>
        </w:rPr>
        <w:t>Rearden,</w:t>
      </w:r>
      <w:r w:rsidRPr="00712277">
        <w:rPr>
          <w:i/>
          <w:spacing w:val="-7"/>
          <w:u w:color="FF0000"/>
        </w:rPr>
        <w:t xml:space="preserve"> </w:t>
      </w:r>
      <w:r w:rsidRPr="00712277">
        <w:rPr>
          <w:i/>
          <w:spacing w:val="-2"/>
          <w:u w:color="FF0000"/>
        </w:rPr>
        <w:t>LLC</w:t>
      </w:r>
      <w:r w:rsidRPr="00712277">
        <w:rPr>
          <w:i/>
          <w:spacing w:val="-7"/>
          <w:u w:color="FF0000"/>
        </w:rPr>
        <w:t xml:space="preserve"> </w:t>
      </w:r>
      <w:r w:rsidRPr="00712277">
        <w:rPr>
          <w:i/>
          <w:spacing w:val="-2"/>
          <w:u w:color="FF0000"/>
        </w:rPr>
        <w:t>v.</w:t>
      </w:r>
      <w:r w:rsidRPr="00712277">
        <w:rPr>
          <w:i/>
          <w:spacing w:val="-7"/>
          <w:u w:color="FF0000"/>
        </w:rPr>
        <w:t xml:space="preserve"> </w:t>
      </w:r>
      <w:r w:rsidRPr="00712277">
        <w:rPr>
          <w:i/>
          <w:spacing w:val="-2"/>
          <w:u w:color="FF0000"/>
        </w:rPr>
        <w:t>Walt</w:t>
      </w:r>
      <w:r w:rsidRPr="00712277">
        <w:rPr>
          <w:i/>
          <w:spacing w:val="-6"/>
          <w:u w:color="FF0000"/>
        </w:rPr>
        <w:t xml:space="preserve"> </w:t>
      </w:r>
      <w:r w:rsidRPr="00712277">
        <w:rPr>
          <w:i/>
          <w:spacing w:val="-2"/>
          <w:u w:color="FF0000"/>
        </w:rPr>
        <w:t>Disney</w:t>
      </w:r>
      <w:r w:rsidRPr="00712277">
        <w:rPr>
          <w:i/>
          <w:spacing w:val="-7"/>
          <w:u w:color="FF0000"/>
        </w:rPr>
        <w:t xml:space="preserve"> </w:t>
      </w:r>
      <w:r w:rsidRPr="00712277">
        <w:rPr>
          <w:i/>
          <w:spacing w:val="-2"/>
          <w:u w:color="FF0000"/>
        </w:rPr>
        <w:t>Pictures</w:t>
      </w:r>
      <w:r w:rsidRPr="00712277">
        <w:rPr>
          <w:spacing w:val="-2"/>
          <w:u w:color="FF0000"/>
        </w:rPr>
        <w:t>,</w:t>
      </w:r>
      <w:r w:rsidRPr="00712277">
        <w:rPr>
          <w:spacing w:val="-7"/>
          <w:u w:color="FF0000"/>
        </w:rPr>
        <w:t xml:space="preserve"> </w:t>
      </w:r>
      <w:r w:rsidRPr="00712277">
        <w:rPr>
          <w:spacing w:val="-2"/>
          <w:u w:color="FF0000"/>
        </w:rPr>
        <w:t>152</w:t>
      </w:r>
      <w:r w:rsidRPr="00712277">
        <w:rPr>
          <w:spacing w:val="-7"/>
          <w:u w:color="FF0000"/>
        </w:rPr>
        <w:t xml:space="preserve"> </w:t>
      </w:r>
      <w:r w:rsidRPr="00712277">
        <w:rPr>
          <w:spacing w:val="-2"/>
          <w:u w:color="FF0000"/>
        </w:rPr>
        <w:t>F.4th</w:t>
      </w:r>
      <w:r w:rsidRPr="00712277">
        <w:rPr>
          <w:spacing w:val="-7"/>
          <w:u w:color="FF0000"/>
        </w:rPr>
        <w:t xml:space="preserve"> </w:t>
      </w:r>
      <w:r w:rsidRPr="00712277">
        <w:rPr>
          <w:spacing w:val="-2"/>
          <w:u w:color="FF0000"/>
        </w:rPr>
        <w:t>1058,</w:t>
      </w:r>
      <w:r w:rsidRPr="00712277">
        <w:rPr>
          <w:spacing w:val="-7"/>
          <w:u w:color="FF0000"/>
        </w:rPr>
        <w:t xml:space="preserve"> </w:t>
      </w:r>
      <w:r w:rsidRPr="00712277">
        <w:rPr>
          <w:spacing w:val="-2"/>
          <w:u w:color="FF0000"/>
        </w:rPr>
        <w:t>1069</w:t>
      </w:r>
      <w:r w:rsidRPr="00712277">
        <w:rPr>
          <w:spacing w:val="-7"/>
          <w:u w:color="FF0000"/>
        </w:rPr>
        <w:t xml:space="preserve"> </w:t>
      </w:r>
      <w:r w:rsidRPr="00712277">
        <w:rPr>
          <w:spacing w:val="-2"/>
          <w:u w:color="FF0000"/>
        </w:rPr>
        <w:t>(9th</w:t>
      </w:r>
      <w:r w:rsidRPr="00712277">
        <w:rPr>
          <w:spacing w:val="-7"/>
          <w:u w:color="FF0000"/>
        </w:rPr>
        <w:t xml:space="preserve"> </w:t>
      </w:r>
      <w:r w:rsidRPr="00712277">
        <w:rPr>
          <w:spacing w:val="-2"/>
          <w:u w:color="FF0000"/>
        </w:rPr>
        <w:t>Cir.</w:t>
      </w:r>
      <w:r w:rsidRPr="00712277">
        <w:rPr>
          <w:spacing w:val="-8"/>
          <w:u w:color="FF0000"/>
        </w:rPr>
        <w:t xml:space="preserve"> </w:t>
      </w:r>
      <w:r w:rsidRPr="00712277">
        <w:rPr>
          <w:spacing w:val="-2"/>
          <w:u w:color="FF0000"/>
        </w:rPr>
        <w:t>2025).</w:t>
      </w:r>
      <w:r w:rsidRPr="00712277">
        <w:rPr>
          <w:spacing w:val="-12"/>
          <w:u w:color="FF0000"/>
        </w:rPr>
        <w:t xml:space="preserve"> </w:t>
      </w:r>
      <w:r w:rsidRPr="00712277">
        <w:rPr>
          <w:spacing w:val="-2"/>
          <w:u w:color="FF0000"/>
        </w:rPr>
        <w:t>The</w:t>
      </w:r>
      <w:r w:rsidRPr="00712277">
        <w:rPr>
          <w:spacing w:val="-7"/>
          <w:u w:color="FF0000"/>
        </w:rPr>
        <w:t xml:space="preserve"> </w:t>
      </w:r>
      <w:r w:rsidRPr="00712277">
        <w:rPr>
          <w:spacing w:val="-2"/>
          <w:u w:color="FF0000"/>
        </w:rPr>
        <w:t>defendant</w:t>
      </w:r>
      <w:r w:rsidRPr="00712277">
        <w:rPr>
          <w:spacing w:val="-6"/>
          <w:u w:color="FF0000"/>
        </w:rPr>
        <w:t xml:space="preserve"> </w:t>
      </w:r>
      <w:r w:rsidRPr="00712277">
        <w:rPr>
          <w:spacing w:val="-2"/>
          <w:u w:color="FF0000"/>
        </w:rPr>
        <w:t>merely</w:t>
      </w:r>
      <w:r w:rsidRPr="00712277">
        <w:rPr>
          <w:spacing w:val="-2"/>
        </w:rPr>
        <w:t xml:space="preserve"> </w:t>
      </w:r>
      <w:r w:rsidRPr="00712277">
        <w:rPr>
          <w:u w:color="FF0000"/>
        </w:rPr>
        <w:t>needs to be able to identify that the conduct was potentially infringing and need not have</w:t>
      </w:r>
      <w:r w:rsidRPr="00712277">
        <w:t xml:space="preserve"> </w:t>
      </w:r>
      <w:r w:rsidRPr="00712277">
        <w:rPr>
          <w:u w:color="FF0000"/>
        </w:rPr>
        <w:t xml:space="preserve">constructive or actual knowledge of infringement to be liable. </w:t>
      </w:r>
      <w:r w:rsidRPr="00712277">
        <w:rPr>
          <w:i/>
          <w:u w:color="FF0000"/>
        </w:rPr>
        <w:t xml:space="preserve">Id. </w:t>
      </w:r>
      <w:r w:rsidRPr="00712277">
        <w:rPr>
          <w:u w:color="FF0000"/>
        </w:rPr>
        <w:t>at 107172.</w:t>
      </w:r>
      <w:r w:rsidRPr="00712277">
        <w:rPr>
          <w:spacing w:val="-2"/>
        </w:rPr>
        <w:t xml:space="preserve"> </w:t>
      </w:r>
      <w:bookmarkEnd w:id="2"/>
      <w:r w:rsidRPr="00842D3D">
        <w:rPr>
          <w:rFonts w:eastAsia="Calibri" w:cs="Times New Roman"/>
          <w:szCs w:val="24"/>
        </w:rPr>
        <w:t xml:space="preserve">The ability to exert an “indirect effect on the infringing activity” is not enough. </w:t>
      </w:r>
      <w:r w:rsidR="00410255">
        <w:rPr>
          <w:rFonts w:eastAsia="Calibri" w:cs="Times New Roman"/>
          <w:i/>
          <w:iCs/>
          <w:szCs w:val="24"/>
        </w:rPr>
        <w:t xml:space="preserve"> </w:t>
      </w:r>
      <w:r w:rsidRPr="00842D3D">
        <w:rPr>
          <w:rFonts w:eastAsia="Calibri" w:cs="Times New Roman"/>
          <w:i/>
          <w:iCs/>
          <w:szCs w:val="24"/>
        </w:rPr>
        <w:t xml:space="preserve"> </w:t>
      </w:r>
    </w:p>
    <w:p w14:paraId="72D094BE" w14:textId="77777777" w:rsidR="00DF1783" w:rsidRPr="00842D3D" w:rsidRDefault="00DF1783" w:rsidP="00DF1783">
      <w:pPr>
        <w:autoSpaceDE w:val="0"/>
        <w:autoSpaceDN w:val="0"/>
        <w:adjustRightInd w:val="0"/>
        <w:rPr>
          <w:rFonts w:eastAsia="Calibri" w:cs="Times New Roman"/>
          <w:szCs w:val="24"/>
        </w:rPr>
      </w:pPr>
    </w:p>
    <w:p w14:paraId="46E74265" w14:textId="77777777" w:rsidR="00DF1783" w:rsidRPr="00842D3D" w:rsidRDefault="00DF1783" w:rsidP="00DF1783">
      <w:pPr>
        <w:autoSpaceDE w:val="0"/>
        <w:autoSpaceDN w:val="0"/>
        <w:adjustRightInd w:val="0"/>
        <w:rPr>
          <w:rFonts w:eastAsia="Calibri" w:cs="Times New Roman"/>
          <w:szCs w:val="24"/>
        </w:rPr>
      </w:pPr>
      <w:r w:rsidRPr="00842D3D">
        <w:rPr>
          <w:rFonts w:eastAsia="Calibri" w:cs="Times New Roman"/>
          <w:szCs w:val="24"/>
        </w:rPr>
        <w:tab/>
      </w:r>
      <w:r w:rsidRPr="00842D3D">
        <w:rPr>
          <w:rFonts w:eastAsia="Calibri" w:cs="Times New Roman"/>
          <w:b/>
          <w:bCs/>
          <w:szCs w:val="24"/>
        </w:rPr>
        <w:t xml:space="preserve">Direct Financial Benefit: </w:t>
      </w:r>
      <w:r w:rsidRPr="00842D3D">
        <w:rPr>
          <w:rFonts w:eastAsia="Calibri" w:cs="Times New Roman"/>
          <w:szCs w:val="24"/>
        </w:rPr>
        <w:t>“A financial benefit is not ‘direct’ unless there is a ‘causal</w:t>
      </w:r>
    </w:p>
    <w:p w14:paraId="30EB02D2" w14:textId="77777777" w:rsidR="00DF1783" w:rsidRPr="00842D3D" w:rsidRDefault="00DF1783" w:rsidP="00DF1783">
      <w:pPr>
        <w:autoSpaceDE w:val="0"/>
        <w:autoSpaceDN w:val="0"/>
        <w:adjustRightInd w:val="0"/>
        <w:rPr>
          <w:rFonts w:eastAsia="Calibri" w:cs="Times New Roman"/>
          <w:i/>
          <w:iCs/>
          <w:szCs w:val="24"/>
        </w:rPr>
      </w:pPr>
      <w:r w:rsidRPr="00842D3D">
        <w:rPr>
          <w:rFonts w:eastAsia="Calibri" w:cs="Times New Roman"/>
          <w:szCs w:val="24"/>
        </w:rPr>
        <w:t xml:space="preserve">relationship between the infringing activity and [the] financial benefit.’” </w:t>
      </w:r>
      <w:r w:rsidRPr="00842D3D">
        <w:rPr>
          <w:rFonts w:eastAsia="Calibri" w:cs="Times New Roman"/>
          <w:i/>
          <w:iCs/>
          <w:szCs w:val="24"/>
        </w:rPr>
        <w:t>Erickson Prods., Inc. v.</w:t>
      </w:r>
    </w:p>
    <w:p w14:paraId="42D7FBDE" w14:textId="77777777" w:rsidR="00DF1783" w:rsidRPr="00842D3D" w:rsidRDefault="00DF1783" w:rsidP="00DF1783">
      <w:pPr>
        <w:autoSpaceDE w:val="0"/>
        <w:autoSpaceDN w:val="0"/>
        <w:adjustRightInd w:val="0"/>
        <w:rPr>
          <w:rFonts w:eastAsia="Calibri" w:cs="Times New Roman"/>
          <w:szCs w:val="24"/>
        </w:rPr>
      </w:pPr>
      <w:r w:rsidRPr="00842D3D">
        <w:rPr>
          <w:rFonts w:eastAsia="Calibri" w:cs="Times New Roman"/>
          <w:i/>
          <w:iCs/>
          <w:szCs w:val="24"/>
        </w:rPr>
        <w:t>Kast</w:t>
      </w:r>
      <w:r w:rsidRPr="00842D3D">
        <w:rPr>
          <w:rFonts w:eastAsia="Calibri" w:cs="Times New Roman"/>
          <w:szCs w:val="24"/>
        </w:rPr>
        <w:t xml:space="preserve">, 921 F.3d 822, 829-30 (9th Cir. 2019) (quoting </w:t>
      </w:r>
      <w:r w:rsidRPr="00842D3D">
        <w:rPr>
          <w:rFonts w:eastAsia="Calibri" w:cs="Times New Roman"/>
          <w:i/>
          <w:iCs/>
          <w:szCs w:val="24"/>
        </w:rPr>
        <w:t>Ellison</w:t>
      </w:r>
      <w:r w:rsidRPr="00842D3D">
        <w:rPr>
          <w:rFonts w:eastAsia="Calibri" w:cs="Times New Roman"/>
          <w:szCs w:val="24"/>
        </w:rPr>
        <w:t xml:space="preserve">, 357 F.3d at 1079 (9th Cir. 2004)). A direct infringer’s avoidance of licensing fees “alone” is not a “direct” financial benefit to the vicarious infringer. </w:t>
      </w:r>
      <w:r w:rsidRPr="00842D3D">
        <w:rPr>
          <w:rFonts w:eastAsia="Calibri" w:cs="Times New Roman"/>
          <w:i/>
          <w:iCs/>
          <w:szCs w:val="24"/>
        </w:rPr>
        <w:t>Id</w:t>
      </w:r>
      <w:r w:rsidRPr="00842D3D">
        <w:rPr>
          <w:rFonts w:eastAsia="Calibri" w:cs="Times New Roman"/>
          <w:szCs w:val="24"/>
        </w:rPr>
        <w:t>. at 840 (noting defendant benefitted only indirectly from website developer’s avoidance of licensing fees).</w:t>
      </w:r>
    </w:p>
    <w:p w14:paraId="72E65BB9" w14:textId="77777777" w:rsidR="00DF1783" w:rsidRPr="00842D3D" w:rsidRDefault="00DF1783" w:rsidP="00DF1783">
      <w:pPr>
        <w:autoSpaceDE w:val="0"/>
        <w:autoSpaceDN w:val="0"/>
        <w:adjustRightInd w:val="0"/>
        <w:rPr>
          <w:rFonts w:eastAsia="Calibri" w:cs="Times New Roman"/>
          <w:szCs w:val="24"/>
        </w:rPr>
      </w:pPr>
    </w:p>
    <w:p w14:paraId="0A59AD84" w14:textId="77777777" w:rsidR="00DF1783" w:rsidRPr="00842D3D" w:rsidRDefault="00DF1783" w:rsidP="00DF1783">
      <w:pPr>
        <w:autoSpaceDE w:val="0"/>
        <w:autoSpaceDN w:val="0"/>
        <w:adjustRightInd w:val="0"/>
        <w:rPr>
          <w:rFonts w:eastAsia="Calibri" w:cs="Times New Roman"/>
          <w:szCs w:val="24"/>
        </w:rPr>
      </w:pPr>
    </w:p>
    <w:p w14:paraId="2D62443F" w14:textId="49880CE1" w:rsidR="00DF1783" w:rsidRPr="00842D3D" w:rsidRDefault="00DF1783" w:rsidP="00DF1783">
      <w:pPr>
        <w:autoSpaceDE w:val="0"/>
        <w:autoSpaceDN w:val="0"/>
        <w:adjustRightInd w:val="0"/>
        <w:jc w:val="right"/>
        <w:rPr>
          <w:rFonts w:eastAsia="Calibri" w:cs="Times New Roman"/>
          <w:i/>
          <w:iCs/>
          <w:szCs w:val="24"/>
        </w:rPr>
      </w:pPr>
      <w:r w:rsidRPr="00842D3D">
        <w:rPr>
          <w:rFonts w:eastAsia="Calibri" w:cs="Times New Roman"/>
          <w:i/>
          <w:iCs/>
          <w:szCs w:val="24"/>
        </w:rPr>
        <w:t xml:space="preserve">Revised </w:t>
      </w:r>
      <w:r>
        <w:rPr>
          <w:rFonts w:eastAsia="Calibri" w:cs="Times New Roman"/>
          <w:i/>
          <w:iCs/>
          <w:szCs w:val="24"/>
        </w:rPr>
        <w:t>December 2025</w:t>
      </w:r>
    </w:p>
    <w:p w14:paraId="0BBBD010" w14:textId="77777777" w:rsidR="00147419" w:rsidRPr="00DF1783" w:rsidRDefault="00147419" w:rsidP="00DF1783"/>
    <w:sectPr w:rsidR="00147419" w:rsidRPr="00DF1783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83918" w14:textId="77777777" w:rsidR="00E4045B" w:rsidRDefault="00E4045B">
      <w:r>
        <w:separator/>
      </w:r>
    </w:p>
  </w:endnote>
  <w:endnote w:type="continuationSeparator" w:id="0">
    <w:p w14:paraId="387E6FCB" w14:textId="77777777" w:rsidR="00E4045B" w:rsidRDefault="00E40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82955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7C8EA0" w14:textId="77777777" w:rsidR="005B3650" w:rsidRDefault="00000000">
        <w:pPr>
          <w:pStyle w:val="Footer"/>
          <w:jc w:val="center"/>
        </w:pPr>
        <w:r w:rsidRPr="00DB22DA">
          <w:fldChar w:fldCharType="begin"/>
        </w:r>
        <w:r w:rsidRPr="00DB22DA">
          <w:instrText xml:space="preserve"> PAGE   \* MERGEFORMAT </w:instrText>
        </w:r>
        <w:r w:rsidRPr="00DB22DA">
          <w:fldChar w:fldCharType="separate"/>
        </w:r>
        <w:r w:rsidRPr="00DB22DA">
          <w:rPr>
            <w:noProof/>
          </w:rPr>
          <w:t>489</w:t>
        </w:r>
        <w:r w:rsidRPr="00DB22DA">
          <w:fldChar w:fldCharType="end"/>
        </w:r>
      </w:p>
    </w:sdtContent>
  </w:sdt>
  <w:p w14:paraId="74789139" w14:textId="77777777" w:rsidR="005B3650" w:rsidRDefault="005B3650">
    <w:pPr>
      <w:spacing w:line="19" w:lineRule="auto"/>
      <w:rPr>
        <w:i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EB55D" w14:textId="77777777" w:rsidR="00E4045B" w:rsidRDefault="00E4045B">
      <w:r>
        <w:separator/>
      </w:r>
    </w:p>
  </w:footnote>
  <w:footnote w:type="continuationSeparator" w:id="0">
    <w:p w14:paraId="39F89295" w14:textId="77777777" w:rsidR="00E4045B" w:rsidRDefault="00E404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783"/>
    <w:rsid w:val="0001407E"/>
    <w:rsid w:val="00147419"/>
    <w:rsid w:val="00410255"/>
    <w:rsid w:val="0042339F"/>
    <w:rsid w:val="0057449A"/>
    <w:rsid w:val="005B3650"/>
    <w:rsid w:val="00712277"/>
    <w:rsid w:val="00780338"/>
    <w:rsid w:val="007E0761"/>
    <w:rsid w:val="00B951E2"/>
    <w:rsid w:val="00C36D00"/>
    <w:rsid w:val="00D04691"/>
    <w:rsid w:val="00D54CA4"/>
    <w:rsid w:val="00DF1783"/>
    <w:rsid w:val="00E4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4E19D"/>
  <w15:chartTrackingRefBased/>
  <w15:docId w15:val="{EA43A55A-C2FD-4C35-B491-A1D73F064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783"/>
    <w:pPr>
      <w:spacing w:after="0" w:line="240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178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178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178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178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78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78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178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78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78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17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17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17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17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7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7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17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7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7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17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F1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178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F17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1783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F17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1783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F17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17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17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1783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F17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1783"/>
    <w:rPr>
      <w:rFonts w:ascii="Times New Roman" w:hAnsi="Times New Roman"/>
      <w:kern w:val="0"/>
      <w:szCs w:val="22"/>
      <w14:ligatures w14:val="none"/>
    </w:rPr>
  </w:style>
  <w:style w:type="paragraph" w:styleId="Revision">
    <w:name w:val="Revision"/>
    <w:hidden/>
    <w:uiPriority w:val="99"/>
    <w:semiHidden/>
    <w:rsid w:val="00DF1783"/>
    <w:pPr>
      <w:spacing w:after="0" w:line="240" w:lineRule="auto"/>
    </w:pPr>
    <w:rPr>
      <w:rFonts w:ascii="Times New Roman" w:hAnsi="Times New Roman"/>
      <w:kern w:val="0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F17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1783"/>
    <w:pPr>
      <w:widowControl w:val="0"/>
      <w:autoSpaceDE w:val="0"/>
      <w:autoSpaceDN w:val="0"/>
    </w:pPr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178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Aejung Yoon</dc:creator>
  <cp:keywords/>
  <dc:description/>
  <cp:lastModifiedBy>Aejung Yoon</cp:lastModifiedBy>
  <cp:revision>3</cp:revision>
  <dcterms:created xsi:type="dcterms:W3CDTF">2026-02-03T01:56:00Z</dcterms:created>
  <dcterms:modified xsi:type="dcterms:W3CDTF">2026-02-09T17:58:00Z</dcterms:modified>
</cp:coreProperties>
</file>