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E37C9" w14:textId="42DF0FD7" w:rsidR="00445F95" w:rsidRPr="00445F95" w:rsidRDefault="00445F95" w:rsidP="0098446E">
      <w:pPr>
        <w:spacing w:after="0" w:line="240" w:lineRule="auto"/>
        <w:jc w:val="center"/>
        <w:rPr>
          <w:b/>
          <w:bCs/>
          <w:sz w:val="24"/>
          <w:szCs w:val="24"/>
        </w:rPr>
      </w:pPr>
      <w:r w:rsidRPr="00445F95">
        <w:rPr>
          <w:b/>
          <w:bCs/>
          <w:sz w:val="24"/>
          <w:szCs w:val="24"/>
        </w:rPr>
        <w:t>17.21 Secondary Liability—Contributory Infringement—Elements and Burden of Proof</w:t>
      </w:r>
    </w:p>
    <w:p w14:paraId="770EF355" w14:textId="77777777" w:rsidR="00445F95" w:rsidRPr="00445F95" w:rsidRDefault="00445F95" w:rsidP="00445F95">
      <w:pPr>
        <w:spacing w:after="0" w:line="240" w:lineRule="auto"/>
        <w:rPr>
          <w:sz w:val="24"/>
          <w:szCs w:val="24"/>
        </w:rPr>
      </w:pPr>
    </w:p>
    <w:p w14:paraId="1399F181" w14:textId="3C2C2171" w:rsidR="00445F95" w:rsidRDefault="00445F95" w:rsidP="00445F95">
      <w:pPr>
        <w:spacing w:after="0" w:line="240" w:lineRule="auto"/>
        <w:rPr>
          <w:sz w:val="24"/>
          <w:szCs w:val="24"/>
        </w:rPr>
      </w:pPr>
      <w:r w:rsidRPr="00445F95">
        <w:rPr>
          <w:sz w:val="24"/>
          <w:szCs w:val="24"/>
        </w:rPr>
        <w:tab/>
        <w:t xml:space="preserve">A defendant may be liable for copyright infringement engaged in by another if [he] [she] </w:t>
      </w:r>
      <w:r w:rsidR="007E5E5D" w:rsidRPr="00307B1B">
        <w:rPr>
          <w:sz w:val="24"/>
          <w:szCs w:val="24"/>
          <w:u w:val="single"/>
        </w:rPr>
        <w:t>[</w:t>
      </w:r>
      <w:r w:rsidR="007E5E5D" w:rsidRPr="00B26BB1">
        <w:rPr>
          <w:sz w:val="24"/>
          <w:szCs w:val="24"/>
        </w:rPr>
        <w:t>other pronoun</w:t>
      </w:r>
      <w:r w:rsidR="007E5E5D" w:rsidRPr="00307B1B">
        <w:rPr>
          <w:sz w:val="24"/>
          <w:szCs w:val="24"/>
          <w:u w:val="single"/>
        </w:rPr>
        <w:t>]</w:t>
      </w:r>
      <w:r w:rsidR="007E5E5D" w:rsidRPr="00445F95" w:rsidDel="00B80758">
        <w:rPr>
          <w:sz w:val="24"/>
          <w:szCs w:val="24"/>
        </w:rPr>
        <w:t xml:space="preserve"> </w:t>
      </w:r>
      <w:r w:rsidRPr="00445F95">
        <w:rPr>
          <w:sz w:val="24"/>
          <w:szCs w:val="24"/>
        </w:rPr>
        <w:t xml:space="preserve"> knew or had reason to know of the infringing activity and intentionally [induced] [materially contributed to] that infringing activity.</w:t>
      </w:r>
    </w:p>
    <w:p w14:paraId="19EC06A3" w14:textId="77777777" w:rsidR="00445F95" w:rsidRPr="00445F95" w:rsidRDefault="00445F95" w:rsidP="00445F95">
      <w:pPr>
        <w:spacing w:after="0" w:line="240" w:lineRule="auto"/>
        <w:rPr>
          <w:sz w:val="24"/>
          <w:szCs w:val="24"/>
        </w:rPr>
      </w:pPr>
    </w:p>
    <w:p w14:paraId="13D28B74" w14:textId="0EC754B0" w:rsidR="00445F95" w:rsidRDefault="00445F95" w:rsidP="00445F95">
      <w:pPr>
        <w:spacing w:after="0" w:line="240" w:lineRule="auto"/>
        <w:rPr>
          <w:sz w:val="24"/>
          <w:szCs w:val="24"/>
        </w:rPr>
      </w:pPr>
      <w:r w:rsidRPr="00445F95">
        <w:rPr>
          <w:sz w:val="24"/>
          <w:szCs w:val="24"/>
        </w:rPr>
        <w:tab/>
        <w:t>If you find that [name of direct infringer] infringed the plaintiff’s copyright in [allegedly infringed work], you must determine whether [name of alleged contributory infringer] contributorily infringed that copyright. The plaintiff has the burden of proving both of the following elements by a preponderance of the evidence:</w:t>
      </w:r>
    </w:p>
    <w:p w14:paraId="1008A3A1" w14:textId="77777777" w:rsidR="00445F95" w:rsidRPr="00944B32" w:rsidRDefault="00445F95" w:rsidP="00445F95">
      <w:pPr>
        <w:spacing w:after="0" w:line="240" w:lineRule="auto"/>
        <w:rPr>
          <w:sz w:val="24"/>
          <w:szCs w:val="24"/>
        </w:rPr>
      </w:pPr>
    </w:p>
    <w:p w14:paraId="0F3C8D5A" w14:textId="7F4F29D7" w:rsidR="00445F95" w:rsidRPr="00944B32" w:rsidRDefault="00944B32" w:rsidP="00B26BB1">
      <w:pPr>
        <w:pStyle w:val="ListParagraph"/>
        <w:spacing w:after="0" w:line="240" w:lineRule="auto"/>
        <w:rPr>
          <w:sz w:val="24"/>
          <w:szCs w:val="24"/>
        </w:rPr>
      </w:pPr>
      <w:r>
        <w:rPr>
          <w:sz w:val="24"/>
          <w:szCs w:val="24"/>
        </w:rPr>
        <w:t xml:space="preserve">First, </w:t>
      </w:r>
      <w:r w:rsidR="00445F95" w:rsidRPr="00944B32">
        <w:rPr>
          <w:sz w:val="24"/>
          <w:szCs w:val="24"/>
        </w:rPr>
        <w:t>the defendant knew or had reason to know of the infringing activity of [name of direct infringer]; and</w:t>
      </w:r>
    </w:p>
    <w:p w14:paraId="05481D48" w14:textId="77777777" w:rsidR="00445F95" w:rsidRPr="00944B32" w:rsidRDefault="00445F95" w:rsidP="00445F95">
      <w:pPr>
        <w:pStyle w:val="ListParagraph"/>
        <w:spacing w:after="0" w:line="240" w:lineRule="auto"/>
        <w:ind w:left="1440"/>
        <w:rPr>
          <w:sz w:val="24"/>
          <w:szCs w:val="24"/>
        </w:rPr>
      </w:pPr>
    </w:p>
    <w:p w14:paraId="21076F9E" w14:textId="236F9094" w:rsidR="00445F95" w:rsidRPr="00445F95" w:rsidRDefault="00944B32" w:rsidP="00B26BB1">
      <w:pPr>
        <w:pStyle w:val="ListParagraph"/>
        <w:spacing w:after="0" w:line="240" w:lineRule="auto"/>
        <w:rPr>
          <w:sz w:val="24"/>
          <w:szCs w:val="24"/>
        </w:rPr>
      </w:pPr>
      <w:r>
        <w:rPr>
          <w:sz w:val="24"/>
          <w:szCs w:val="24"/>
        </w:rPr>
        <w:t xml:space="preserve">Second, </w:t>
      </w:r>
      <w:r w:rsidR="00445F95" w:rsidRPr="00944B32">
        <w:rPr>
          <w:sz w:val="24"/>
          <w:szCs w:val="24"/>
        </w:rPr>
        <w:t>the defendant i</w:t>
      </w:r>
      <w:r w:rsidR="00445F95" w:rsidRPr="00445F95">
        <w:rPr>
          <w:sz w:val="24"/>
          <w:szCs w:val="24"/>
        </w:rPr>
        <w:t>ntentionally [induced] [materially contributed to] [name of direct infringer’s] infringing activity.</w:t>
      </w:r>
    </w:p>
    <w:p w14:paraId="01EC74B6" w14:textId="77777777" w:rsidR="00445F95" w:rsidRPr="00445F95" w:rsidRDefault="00445F95" w:rsidP="00445F95">
      <w:pPr>
        <w:spacing w:after="0" w:line="240" w:lineRule="auto"/>
        <w:rPr>
          <w:sz w:val="24"/>
          <w:szCs w:val="24"/>
        </w:rPr>
      </w:pPr>
    </w:p>
    <w:p w14:paraId="3551C389" w14:textId="1B5CC07B" w:rsidR="00445F95" w:rsidRDefault="00445F95" w:rsidP="00445F95">
      <w:pPr>
        <w:spacing w:after="0" w:line="240" w:lineRule="auto"/>
        <w:rPr>
          <w:sz w:val="24"/>
          <w:szCs w:val="24"/>
        </w:rPr>
      </w:pPr>
      <w:r w:rsidRPr="00445F95">
        <w:rPr>
          <w:sz w:val="24"/>
          <w:szCs w:val="24"/>
        </w:rPr>
        <w:tab/>
        <w:t>[The defendant’s intent to induce the infringing activity must be shown by clear expression of that intent or other affirmative steps taken by the defendant to encourage.]</w:t>
      </w:r>
    </w:p>
    <w:p w14:paraId="5050F604" w14:textId="77777777" w:rsidR="00445F95" w:rsidRPr="00445F95" w:rsidRDefault="00445F95" w:rsidP="00445F95">
      <w:pPr>
        <w:spacing w:after="0" w:line="240" w:lineRule="auto"/>
        <w:rPr>
          <w:sz w:val="24"/>
          <w:szCs w:val="24"/>
        </w:rPr>
      </w:pPr>
    </w:p>
    <w:p w14:paraId="1CC72F05" w14:textId="77777777" w:rsidR="00445F95" w:rsidRPr="00445F95" w:rsidRDefault="00445F95" w:rsidP="00445F95">
      <w:pPr>
        <w:pStyle w:val="BodyText"/>
        <w:ind w:left="119" w:right="136" w:firstLine="719"/>
        <w:rPr>
          <w:w w:val="105"/>
          <w:sz w:val="24"/>
          <w:szCs w:val="24"/>
        </w:rPr>
      </w:pPr>
      <w:r w:rsidRPr="00445F95">
        <w:rPr>
          <w:w w:val="105"/>
          <w:sz w:val="24"/>
          <w:szCs w:val="24"/>
        </w:rPr>
        <w:t>If</w:t>
      </w:r>
      <w:r w:rsidRPr="00445F95">
        <w:rPr>
          <w:spacing w:val="-8"/>
          <w:w w:val="105"/>
          <w:sz w:val="24"/>
          <w:szCs w:val="24"/>
        </w:rPr>
        <w:t xml:space="preserve"> </w:t>
      </w:r>
      <w:r w:rsidRPr="00445F95">
        <w:rPr>
          <w:w w:val="105"/>
          <w:sz w:val="24"/>
          <w:szCs w:val="24"/>
        </w:rPr>
        <w:t>you</w:t>
      </w:r>
      <w:r w:rsidRPr="00445F95">
        <w:rPr>
          <w:spacing w:val="-5"/>
          <w:w w:val="105"/>
          <w:sz w:val="24"/>
          <w:szCs w:val="24"/>
        </w:rPr>
        <w:t xml:space="preserve"> </w:t>
      </w:r>
      <w:r w:rsidRPr="00445F95">
        <w:rPr>
          <w:w w:val="105"/>
          <w:sz w:val="24"/>
          <w:szCs w:val="24"/>
        </w:rPr>
        <w:t>find</w:t>
      </w:r>
      <w:r w:rsidRPr="00445F95">
        <w:rPr>
          <w:spacing w:val="-5"/>
          <w:w w:val="105"/>
          <w:sz w:val="24"/>
          <w:szCs w:val="24"/>
        </w:rPr>
        <w:t xml:space="preserve"> </w:t>
      </w:r>
      <w:r w:rsidRPr="00445F95">
        <w:rPr>
          <w:w w:val="105"/>
          <w:sz w:val="24"/>
          <w:szCs w:val="24"/>
        </w:rPr>
        <w:t>that</w:t>
      </w:r>
      <w:r w:rsidRPr="00445F95">
        <w:rPr>
          <w:spacing w:val="-9"/>
          <w:w w:val="105"/>
          <w:sz w:val="24"/>
          <w:szCs w:val="24"/>
        </w:rPr>
        <w:t xml:space="preserve"> </w:t>
      </w:r>
      <w:r w:rsidRPr="00445F95">
        <w:rPr>
          <w:w w:val="105"/>
          <w:sz w:val="24"/>
          <w:szCs w:val="24"/>
        </w:rPr>
        <w:t>[</w:t>
      </w:r>
      <w:r w:rsidRPr="00445F95">
        <w:rPr>
          <w:i/>
          <w:w w:val="105"/>
          <w:sz w:val="24"/>
          <w:szCs w:val="24"/>
          <w:u w:val="single"/>
        </w:rPr>
        <w:t>name</w:t>
      </w:r>
      <w:r w:rsidRPr="00445F95">
        <w:rPr>
          <w:i/>
          <w:spacing w:val="-6"/>
          <w:w w:val="105"/>
          <w:sz w:val="24"/>
          <w:szCs w:val="24"/>
          <w:u w:val="single"/>
        </w:rPr>
        <w:t xml:space="preserve"> </w:t>
      </w:r>
      <w:r w:rsidRPr="00445F95">
        <w:rPr>
          <w:i/>
          <w:w w:val="105"/>
          <w:sz w:val="24"/>
          <w:szCs w:val="24"/>
          <w:u w:val="single"/>
        </w:rPr>
        <w:t>of</w:t>
      </w:r>
      <w:r w:rsidRPr="00445F95">
        <w:rPr>
          <w:i/>
          <w:spacing w:val="-9"/>
          <w:w w:val="105"/>
          <w:sz w:val="24"/>
          <w:szCs w:val="24"/>
          <w:u w:val="single"/>
        </w:rPr>
        <w:t xml:space="preserve"> </w:t>
      </w:r>
      <w:r w:rsidRPr="00445F95">
        <w:rPr>
          <w:i/>
          <w:w w:val="105"/>
          <w:sz w:val="24"/>
          <w:szCs w:val="24"/>
          <w:u w:val="single"/>
        </w:rPr>
        <w:t>direct</w:t>
      </w:r>
      <w:r w:rsidRPr="00445F95">
        <w:rPr>
          <w:i/>
          <w:spacing w:val="-9"/>
          <w:w w:val="105"/>
          <w:sz w:val="24"/>
          <w:szCs w:val="24"/>
          <w:u w:val="single"/>
        </w:rPr>
        <w:t xml:space="preserve"> </w:t>
      </w:r>
      <w:r w:rsidRPr="00445F95">
        <w:rPr>
          <w:i/>
          <w:w w:val="105"/>
          <w:sz w:val="24"/>
          <w:szCs w:val="24"/>
          <w:u w:val="single"/>
        </w:rPr>
        <w:t>infringer</w:t>
      </w:r>
      <w:r w:rsidRPr="00445F95">
        <w:rPr>
          <w:w w:val="105"/>
          <w:sz w:val="24"/>
          <w:szCs w:val="24"/>
        </w:rPr>
        <w:t>]</w:t>
      </w:r>
      <w:r w:rsidRPr="00445F95">
        <w:rPr>
          <w:spacing w:val="-8"/>
          <w:w w:val="105"/>
          <w:sz w:val="24"/>
          <w:szCs w:val="24"/>
        </w:rPr>
        <w:t xml:space="preserve"> </w:t>
      </w:r>
      <w:r w:rsidRPr="00445F95">
        <w:rPr>
          <w:w w:val="105"/>
          <w:sz w:val="24"/>
          <w:szCs w:val="24"/>
        </w:rPr>
        <w:t>infringed</w:t>
      </w:r>
      <w:r w:rsidRPr="00445F95">
        <w:rPr>
          <w:spacing w:val="-5"/>
          <w:w w:val="105"/>
          <w:sz w:val="24"/>
          <w:szCs w:val="24"/>
        </w:rPr>
        <w:t xml:space="preserve"> </w:t>
      </w:r>
      <w:r w:rsidRPr="00445F95">
        <w:rPr>
          <w:w w:val="105"/>
          <w:sz w:val="24"/>
          <w:szCs w:val="24"/>
        </w:rPr>
        <w:t>the</w:t>
      </w:r>
      <w:r w:rsidRPr="00445F95">
        <w:rPr>
          <w:spacing w:val="-6"/>
          <w:w w:val="105"/>
          <w:sz w:val="24"/>
          <w:szCs w:val="24"/>
        </w:rPr>
        <w:t xml:space="preserve"> </w:t>
      </w:r>
      <w:r w:rsidRPr="00445F95">
        <w:rPr>
          <w:w w:val="105"/>
          <w:sz w:val="24"/>
          <w:szCs w:val="24"/>
        </w:rPr>
        <w:t>plaintiff’s</w:t>
      </w:r>
      <w:r w:rsidRPr="00445F95">
        <w:rPr>
          <w:spacing w:val="-7"/>
          <w:w w:val="105"/>
          <w:sz w:val="24"/>
          <w:szCs w:val="24"/>
        </w:rPr>
        <w:t xml:space="preserve"> </w:t>
      </w:r>
      <w:r w:rsidRPr="00445F95">
        <w:rPr>
          <w:w w:val="105"/>
          <w:sz w:val="24"/>
          <w:szCs w:val="24"/>
        </w:rPr>
        <w:t>copyright</w:t>
      </w:r>
      <w:r w:rsidRPr="00445F95">
        <w:rPr>
          <w:spacing w:val="-16"/>
          <w:w w:val="105"/>
          <w:sz w:val="24"/>
          <w:szCs w:val="24"/>
        </w:rPr>
        <w:t xml:space="preserve"> </w:t>
      </w:r>
      <w:r w:rsidRPr="00445F95">
        <w:rPr>
          <w:w w:val="105"/>
          <w:sz w:val="24"/>
          <w:szCs w:val="24"/>
        </w:rPr>
        <w:t>and</w:t>
      </w:r>
      <w:r w:rsidRPr="00445F95">
        <w:rPr>
          <w:spacing w:val="-4"/>
          <w:w w:val="105"/>
          <w:sz w:val="24"/>
          <w:szCs w:val="24"/>
        </w:rPr>
        <w:t xml:space="preserve"> </w:t>
      </w:r>
      <w:r w:rsidRPr="00445F95">
        <w:rPr>
          <w:w w:val="105"/>
          <w:sz w:val="24"/>
          <w:szCs w:val="24"/>
        </w:rPr>
        <w:t>you</w:t>
      </w:r>
      <w:r w:rsidRPr="00445F95">
        <w:rPr>
          <w:spacing w:val="-5"/>
          <w:w w:val="105"/>
          <w:sz w:val="24"/>
          <w:szCs w:val="24"/>
        </w:rPr>
        <w:t xml:space="preserve"> </w:t>
      </w:r>
      <w:r w:rsidRPr="00445F95">
        <w:rPr>
          <w:w w:val="105"/>
          <w:sz w:val="24"/>
          <w:szCs w:val="24"/>
        </w:rPr>
        <w:t>also find that</w:t>
      </w:r>
      <w:r w:rsidRPr="00445F95">
        <w:rPr>
          <w:spacing w:val="-5"/>
          <w:w w:val="105"/>
          <w:sz w:val="24"/>
          <w:szCs w:val="24"/>
        </w:rPr>
        <w:t xml:space="preserve"> </w:t>
      </w:r>
      <w:r w:rsidRPr="00445F95">
        <w:rPr>
          <w:w w:val="105"/>
          <w:sz w:val="24"/>
          <w:szCs w:val="24"/>
        </w:rPr>
        <w:t>the</w:t>
      </w:r>
      <w:r w:rsidRPr="00445F95">
        <w:rPr>
          <w:spacing w:val="-1"/>
          <w:w w:val="105"/>
          <w:sz w:val="24"/>
          <w:szCs w:val="24"/>
        </w:rPr>
        <w:t xml:space="preserve"> </w:t>
      </w:r>
      <w:r w:rsidRPr="00445F95">
        <w:rPr>
          <w:w w:val="105"/>
          <w:sz w:val="24"/>
          <w:szCs w:val="24"/>
        </w:rPr>
        <w:t>plaintiff</w:t>
      </w:r>
      <w:r w:rsidRPr="00445F95">
        <w:rPr>
          <w:spacing w:val="-3"/>
          <w:w w:val="105"/>
          <w:sz w:val="24"/>
          <w:szCs w:val="24"/>
        </w:rPr>
        <w:t xml:space="preserve"> </w:t>
      </w:r>
      <w:r w:rsidRPr="00445F95">
        <w:rPr>
          <w:w w:val="105"/>
          <w:sz w:val="24"/>
          <w:szCs w:val="24"/>
        </w:rPr>
        <w:t>has</w:t>
      </w:r>
      <w:r w:rsidRPr="00445F95">
        <w:rPr>
          <w:spacing w:val="-2"/>
          <w:w w:val="105"/>
          <w:sz w:val="24"/>
          <w:szCs w:val="24"/>
        </w:rPr>
        <w:t xml:space="preserve"> </w:t>
      </w:r>
      <w:r w:rsidRPr="00445F95">
        <w:rPr>
          <w:w w:val="105"/>
          <w:sz w:val="24"/>
          <w:szCs w:val="24"/>
        </w:rPr>
        <w:t>proved both of</w:t>
      </w:r>
      <w:r w:rsidRPr="00445F95">
        <w:rPr>
          <w:spacing w:val="-3"/>
          <w:w w:val="105"/>
          <w:sz w:val="24"/>
          <w:szCs w:val="24"/>
        </w:rPr>
        <w:t xml:space="preserve"> </w:t>
      </w:r>
      <w:r w:rsidRPr="00445F95">
        <w:rPr>
          <w:w w:val="105"/>
          <w:sz w:val="24"/>
          <w:szCs w:val="24"/>
        </w:rPr>
        <w:t>these</w:t>
      </w:r>
      <w:r w:rsidRPr="00445F95">
        <w:rPr>
          <w:spacing w:val="-1"/>
          <w:w w:val="105"/>
          <w:sz w:val="24"/>
          <w:szCs w:val="24"/>
        </w:rPr>
        <w:t xml:space="preserve"> </w:t>
      </w:r>
      <w:r w:rsidRPr="00445F95">
        <w:rPr>
          <w:w w:val="105"/>
          <w:sz w:val="24"/>
          <w:szCs w:val="24"/>
        </w:rPr>
        <w:t>elements,</w:t>
      </w:r>
      <w:r w:rsidRPr="00445F95">
        <w:rPr>
          <w:spacing w:val="-5"/>
          <w:w w:val="105"/>
          <w:sz w:val="24"/>
          <w:szCs w:val="24"/>
        </w:rPr>
        <w:t xml:space="preserve"> </w:t>
      </w:r>
      <w:r w:rsidRPr="00445F95">
        <w:rPr>
          <w:w w:val="105"/>
          <w:sz w:val="24"/>
          <w:szCs w:val="24"/>
        </w:rPr>
        <w:t>your</w:t>
      </w:r>
      <w:r w:rsidRPr="00445F95">
        <w:rPr>
          <w:spacing w:val="-3"/>
          <w:w w:val="105"/>
          <w:sz w:val="24"/>
          <w:szCs w:val="24"/>
        </w:rPr>
        <w:t xml:space="preserve"> </w:t>
      </w:r>
      <w:r w:rsidRPr="00445F95">
        <w:rPr>
          <w:w w:val="105"/>
          <w:sz w:val="24"/>
          <w:szCs w:val="24"/>
        </w:rPr>
        <w:t>verdict</w:t>
      </w:r>
      <w:r w:rsidRPr="00445F95">
        <w:rPr>
          <w:spacing w:val="-5"/>
          <w:w w:val="105"/>
          <w:sz w:val="24"/>
          <w:szCs w:val="24"/>
        </w:rPr>
        <w:t xml:space="preserve"> </w:t>
      </w:r>
      <w:r w:rsidRPr="00445F95">
        <w:rPr>
          <w:w w:val="105"/>
          <w:sz w:val="24"/>
          <w:szCs w:val="24"/>
        </w:rPr>
        <w:t>should be</w:t>
      </w:r>
      <w:r w:rsidRPr="00445F95">
        <w:rPr>
          <w:spacing w:val="-1"/>
          <w:w w:val="105"/>
          <w:sz w:val="24"/>
          <w:szCs w:val="24"/>
        </w:rPr>
        <w:t xml:space="preserve"> </w:t>
      </w:r>
      <w:r w:rsidRPr="00445F95">
        <w:rPr>
          <w:w w:val="105"/>
          <w:sz w:val="24"/>
          <w:szCs w:val="24"/>
        </w:rPr>
        <w:t>for</w:t>
      </w:r>
      <w:r w:rsidRPr="00445F95">
        <w:rPr>
          <w:spacing w:val="-3"/>
          <w:w w:val="105"/>
          <w:sz w:val="24"/>
          <w:szCs w:val="24"/>
        </w:rPr>
        <w:t xml:space="preserve"> </w:t>
      </w:r>
      <w:r w:rsidRPr="00445F95">
        <w:rPr>
          <w:w w:val="105"/>
          <w:sz w:val="24"/>
          <w:szCs w:val="24"/>
        </w:rPr>
        <w:t>the</w:t>
      </w:r>
      <w:r w:rsidRPr="00445F95">
        <w:rPr>
          <w:spacing w:val="-1"/>
          <w:w w:val="105"/>
          <w:sz w:val="24"/>
          <w:szCs w:val="24"/>
        </w:rPr>
        <w:t xml:space="preserve"> </w:t>
      </w:r>
      <w:r w:rsidRPr="00445F95">
        <w:rPr>
          <w:w w:val="105"/>
          <w:sz w:val="24"/>
          <w:szCs w:val="24"/>
        </w:rPr>
        <w:t>plaintiff. If, on the other hand, the plaintiff has failed to prove either or both of these elements, your verdict should be for the defendant.</w:t>
      </w:r>
    </w:p>
    <w:p w14:paraId="20639AE6" w14:textId="77777777" w:rsidR="00445F95" w:rsidRPr="00445F95" w:rsidRDefault="00445F95" w:rsidP="00445F95">
      <w:pPr>
        <w:spacing w:after="0" w:line="240" w:lineRule="auto"/>
        <w:rPr>
          <w:sz w:val="24"/>
          <w:szCs w:val="24"/>
        </w:rPr>
      </w:pPr>
    </w:p>
    <w:p w14:paraId="283A395B" w14:textId="77777777" w:rsidR="00445F95" w:rsidRPr="00445F95" w:rsidRDefault="00445F95" w:rsidP="00445F95">
      <w:pPr>
        <w:spacing w:after="0" w:line="240" w:lineRule="auto"/>
        <w:jc w:val="center"/>
        <w:rPr>
          <w:b/>
          <w:bCs/>
          <w:kern w:val="0"/>
          <w:sz w:val="24"/>
          <w:szCs w:val="24"/>
        </w:rPr>
      </w:pPr>
      <w:r w:rsidRPr="00445F95">
        <w:rPr>
          <w:b/>
          <w:bCs/>
          <w:kern w:val="0"/>
          <w:sz w:val="24"/>
          <w:szCs w:val="24"/>
        </w:rPr>
        <w:t>Comment</w:t>
      </w:r>
    </w:p>
    <w:p w14:paraId="5CB71CB1" w14:textId="21F7B3B3" w:rsidR="00445F95" w:rsidRDefault="00445F95" w:rsidP="00445F95">
      <w:pPr>
        <w:spacing w:after="0" w:line="240" w:lineRule="auto"/>
        <w:rPr>
          <w:strike/>
          <w:color w:val="FF0000"/>
          <w:kern w:val="0"/>
          <w:sz w:val="24"/>
          <w:szCs w:val="24"/>
        </w:rPr>
      </w:pPr>
      <w:r w:rsidRPr="00445F95">
        <w:rPr>
          <w:kern w:val="0"/>
          <w:sz w:val="24"/>
          <w:szCs w:val="24"/>
        </w:rPr>
        <w:tab/>
      </w:r>
      <w:r w:rsidR="007E5E5D">
        <w:rPr>
          <w:kern w:val="0"/>
          <w:sz w:val="24"/>
          <w:szCs w:val="24"/>
        </w:rPr>
        <w:t xml:space="preserve">This </w:t>
      </w:r>
      <w:r w:rsidRPr="00445F95">
        <w:rPr>
          <w:kern w:val="0"/>
          <w:sz w:val="24"/>
          <w:szCs w:val="24"/>
        </w:rPr>
        <w:t xml:space="preserve">instruction is based on </w:t>
      </w:r>
      <w:r w:rsidRPr="00445F95">
        <w:rPr>
          <w:i/>
          <w:iCs/>
          <w:kern w:val="0"/>
          <w:sz w:val="24"/>
          <w:szCs w:val="24"/>
        </w:rPr>
        <w:t>Fonovisa, Inc. v. Cherry Auction, Inc</w:t>
      </w:r>
      <w:r w:rsidRPr="00445F95">
        <w:rPr>
          <w:kern w:val="0"/>
          <w:sz w:val="24"/>
          <w:szCs w:val="24"/>
        </w:rPr>
        <w:t xml:space="preserve">., 76 F.3d 259, 261-63 (9th Cir. 1996), </w:t>
      </w:r>
      <w:r w:rsidRPr="00445F95">
        <w:rPr>
          <w:i/>
          <w:iCs/>
          <w:kern w:val="0"/>
          <w:sz w:val="24"/>
          <w:szCs w:val="24"/>
        </w:rPr>
        <w:t>Ellison v. Robertson</w:t>
      </w:r>
      <w:r w:rsidRPr="00445F95">
        <w:rPr>
          <w:kern w:val="0"/>
          <w:sz w:val="24"/>
          <w:szCs w:val="24"/>
        </w:rPr>
        <w:t xml:space="preserve">, 357 F.3d 1072, 1076 (9th Cir. 2004), and </w:t>
      </w:r>
      <w:r w:rsidRPr="00445F95">
        <w:rPr>
          <w:i/>
          <w:iCs/>
          <w:kern w:val="0"/>
          <w:sz w:val="24"/>
          <w:szCs w:val="24"/>
        </w:rPr>
        <w:t>MDY Indus</w:t>
      </w:r>
      <w:r w:rsidR="00B32A5E" w:rsidRPr="00B32A5E">
        <w:rPr>
          <w:i/>
          <w:iCs/>
          <w:kern w:val="0"/>
          <w:sz w:val="24"/>
          <w:szCs w:val="24"/>
          <w:u w:val="single"/>
        </w:rPr>
        <w:t>tries</w:t>
      </w:r>
      <w:r w:rsidRPr="007E5E5D">
        <w:rPr>
          <w:i/>
          <w:iCs/>
          <w:kern w:val="0"/>
          <w:sz w:val="24"/>
          <w:szCs w:val="24"/>
        </w:rPr>
        <w:t>.</w:t>
      </w:r>
      <w:r w:rsidRPr="00445F95">
        <w:rPr>
          <w:i/>
          <w:iCs/>
          <w:kern w:val="0"/>
          <w:sz w:val="24"/>
          <w:szCs w:val="24"/>
        </w:rPr>
        <w:t>, LLC v. Blizzard Enter</w:t>
      </w:r>
      <w:r w:rsidR="00B32A5E" w:rsidRPr="00307B1B">
        <w:rPr>
          <w:i/>
          <w:iCs/>
          <w:kern w:val="0"/>
          <w:sz w:val="24"/>
          <w:szCs w:val="24"/>
        </w:rPr>
        <w:t>tainmen</w:t>
      </w:r>
      <w:r w:rsidRPr="00445F95">
        <w:rPr>
          <w:i/>
          <w:iCs/>
          <w:kern w:val="0"/>
          <w:sz w:val="24"/>
          <w:szCs w:val="24"/>
        </w:rPr>
        <w:t>t, Inc.</w:t>
      </w:r>
      <w:r w:rsidRPr="00445F95">
        <w:rPr>
          <w:kern w:val="0"/>
          <w:sz w:val="24"/>
          <w:szCs w:val="24"/>
        </w:rPr>
        <w:t xml:space="preserve">, 629 F.3d 928, 937-38 (9th Cir. 2010), </w:t>
      </w:r>
      <w:r w:rsidRPr="00445F95">
        <w:rPr>
          <w:i/>
          <w:iCs/>
          <w:kern w:val="0"/>
          <w:sz w:val="24"/>
          <w:szCs w:val="24"/>
        </w:rPr>
        <w:t xml:space="preserve">amended </w:t>
      </w:r>
      <w:r w:rsidRPr="00445F95">
        <w:rPr>
          <w:kern w:val="0"/>
          <w:sz w:val="24"/>
          <w:szCs w:val="24"/>
        </w:rPr>
        <w:t>(Feb. 17, 2011)</w:t>
      </w:r>
      <w:r w:rsidR="007E5E5D">
        <w:rPr>
          <w:kern w:val="0"/>
          <w:sz w:val="24"/>
          <w:szCs w:val="24"/>
        </w:rPr>
        <w:t>.</w:t>
      </w:r>
      <w:r w:rsidRPr="00445F95">
        <w:rPr>
          <w:strike/>
          <w:color w:val="FF0000"/>
          <w:kern w:val="0"/>
          <w:sz w:val="24"/>
          <w:szCs w:val="24"/>
        </w:rPr>
        <w:t xml:space="preserve"> </w:t>
      </w:r>
    </w:p>
    <w:p w14:paraId="4CC90117" w14:textId="77777777" w:rsidR="00445F95" w:rsidRPr="00445F95" w:rsidRDefault="00445F95" w:rsidP="00445F95">
      <w:pPr>
        <w:spacing w:after="0" w:line="240" w:lineRule="auto"/>
        <w:rPr>
          <w:kern w:val="0"/>
          <w:sz w:val="24"/>
          <w:szCs w:val="24"/>
        </w:rPr>
      </w:pPr>
    </w:p>
    <w:p w14:paraId="77D49AD3" w14:textId="36B5A196" w:rsidR="00445F95" w:rsidRDefault="00445F95" w:rsidP="00445F95">
      <w:pPr>
        <w:spacing w:after="0" w:line="240" w:lineRule="auto"/>
        <w:rPr>
          <w:kern w:val="0"/>
          <w:sz w:val="24"/>
          <w:szCs w:val="24"/>
        </w:rPr>
      </w:pPr>
      <w:r w:rsidRPr="00445F95">
        <w:rPr>
          <w:kern w:val="0"/>
          <w:sz w:val="24"/>
          <w:szCs w:val="24"/>
        </w:rPr>
        <w:tab/>
      </w:r>
      <w:r w:rsidR="00B32A5E" w:rsidRPr="00445F95">
        <w:rPr>
          <w:kern w:val="0"/>
          <w:sz w:val="24"/>
          <w:szCs w:val="24"/>
        </w:rPr>
        <w:t>This instruction is also supported by the following cases:</w:t>
      </w:r>
      <w:r w:rsidRPr="00B26BB1">
        <w:rPr>
          <w:i/>
          <w:iCs/>
          <w:kern w:val="0"/>
          <w:sz w:val="24"/>
          <w:szCs w:val="24"/>
        </w:rPr>
        <w:t xml:space="preserve"> Erickson Prod</w:t>
      </w:r>
      <w:r w:rsidR="00B32A5E" w:rsidRPr="00445F95">
        <w:rPr>
          <w:i/>
          <w:iCs/>
          <w:kern w:val="0"/>
          <w:sz w:val="24"/>
          <w:szCs w:val="24"/>
        </w:rPr>
        <w:t>ucts, Inc.</w:t>
      </w:r>
      <w:r w:rsidR="00B32A5E">
        <w:rPr>
          <w:i/>
          <w:iCs/>
          <w:kern w:val="0"/>
          <w:sz w:val="24"/>
          <w:szCs w:val="24"/>
        </w:rPr>
        <w:t xml:space="preserve"> v. Kast</w:t>
      </w:r>
      <w:r w:rsidR="00B32A5E">
        <w:rPr>
          <w:kern w:val="0"/>
          <w:sz w:val="24"/>
          <w:szCs w:val="24"/>
        </w:rPr>
        <w:t>,</w:t>
      </w:r>
      <w:r w:rsidR="00B32A5E" w:rsidRPr="00B32A5E">
        <w:rPr>
          <w:i/>
          <w:iCs/>
          <w:color w:val="FF0000"/>
          <w:kern w:val="0"/>
          <w:sz w:val="24"/>
          <w:szCs w:val="24"/>
          <w:u w:val="single"/>
        </w:rPr>
        <w:t xml:space="preserve"> </w:t>
      </w:r>
      <w:r w:rsidRPr="00445F95">
        <w:rPr>
          <w:kern w:val="0"/>
          <w:sz w:val="24"/>
          <w:szCs w:val="24"/>
        </w:rPr>
        <w:t xml:space="preserve">921 F.3d 822, 831 (9th Cir. 2019) (“A party engages in contributory copyright infringement when it ‘(1) has knowledge of another’s infringement and (2) either (a) materially contributes to or (b) induces that infringement.’” (quoting </w:t>
      </w:r>
      <w:r w:rsidRPr="00445F95">
        <w:rPr>
          <w:i/>
          <w:iCs/>
          <w:kern w:val="0"/>
          <w:sz w:val="24"/>
          <w:szCs w:val="24"/>
        </w:rPr>
        <w:t>VHT, Inc. v. Zillow Grp.</w:t>
      </w:r>
      <w:r w:rsidRPr="00445F95">
        <w:rPr>
          <w:kern w:val="0"/>
          <w:sz w:val="24"/>
          <w:szCs w:val="24"/>
        </w:rPr>
        <w:t xml:space="preserve">, 918 F.3d 723, 745 (9th Cir. 2019))); </w:t>
      </w:r>
      <w:r w:rsidRPr="00445F95">
        <w:rPr>
          <w:i/>
          <w:iCs/>
          <w:kern w:val="0"/>
          <w:sz w:val="24"/>
          <w:szCs w:val="24"/>
        </w:rPr>
        <w:t>Cobbler Nevada, LLC v. Gonzales</w:t>
      </w:r>
      <w:r w:rsidRPr="00445F95">
        <w:rPr>
          <w:kern w:val="0"/>
          <w:sz w:val="24"/>
          <w:szCs w:val="24"/>
        </w:rPr>
        <w:t xml:space="preserve">, 901 F.3d 1142, 1147 (9th Cir. 2018) (“We have adopted the well-settled rule that ‘[o]ne infringes contributorily by intentionally inducing or encouraging direct infringement.’ </w:t>
      </w:r>
      <w:r w:rsidRPr="00445F95">
        <w:rPr>
          <w:i/>
          <w:iCs/>
          <w:kern w:val="0"/>
          <w:sz w:val="24"/>
          <w:szCs w:val="24"/>
        </w:rPr>
        <w:t>Perfect 10, Inc. v. Amazon.com, Inc.</w:t>
      </w:r>
      <w:r w:rsidRPr="00445F95">
        <w:rPr>
          <w:kern w:val="0"/>
          <w:sz w:val="24"/>
          <w:szCs w:val="24"/>
        </w:rPr>
        <w:t xml:space="preserve">, 508 F.3d 1146, 1170 (9th Cir. 2007) (alteration in original) (quoting </w:t>
      </w:r>
      <w:r w:rsidRPr="00445F95">
        <w:rPr>
          <w:i/>
          <w:iCs/>
          <w:kern w:val="0"/>
          <w:sz w:val="24"/>
          <w:szCs w:val="24"/>
        </w:rPr>
        <w:t>Metro-Goldwyn-Mayer Studios, Inc. v. Grokster</w:t>
      </w:r>
      <w:r w:rsidRPr="00445F95">
        <w:rPr>
          <w:kern w:val="0"/>
          <w:sz w:val="24"/>
          <w:szCs w:val="24"/>
        </w:rPr>
        <w:t xml:space="preserve">, </w:t>
      </w:r>
      <w:r w:rsidRPr="00445F95">
        <w:rPr>
          <w:i/>
          <w:iCs/>
          <w:kern w:val="0"/>
          <w:sz w:val="24"/>
          <w:szCs w:val="24"/>
        </w:rPr>
        <w:t>Ltd.</w:t>
      </w:r>
      <w:r w:rsidRPr="00445F95">
        <w:rPr>
          <w:kern w:val="0"/>
          <w:sz w:val="24"/>
          <w:szCs w:val="24"/>
        </w:rPr>
        <w:t>, 545 U.S. 913, 930 (2005)). Stated differently, ‘liability exists if the defendant engages in personal conduct that encourages or assists the infringement.’”).</w:t>
      </w:r>
    </w:p>
    <w:p w14:paraId="4B7A61F4" w14:textId="77777777" w:rsidR="00445F95" w:rsidRPr="00445F95" w:rsidRDefault="00445F95" w:rsidP="00445F95">
      <w:pPr>
        <w:spacing w:after="0" w:line="240" w:lineRule="auto"/>
        <w:rPr>
          <w:kern w:val="0"/>
          <w:sz w:val="24"/>
          <w:szCs w:val="24"/>
        </w:rPr>
      </w:pPr>
    </w:p>
    <w:p w14:paraId="32447967" w14:textId="33912371" w:rsidR="00445F95" w:rsidRDefault="00445F95" w:rsidP="00445F95">
      <w:pPr>
        <w:spacing w:after="0" w:line="240" w:lineRule="auto"/>
        <w:rPr>
          <w:i/>
          <w:iCs/>
          <w:kern w:val="0"/>
          <w:sz w:val="24"/>
          <w:szCs w:val="24"/>
        </w:rPr>
      </w:pPr>
      <w:r w:rsidRPr="00445F95">
        <w:rPr>
          <w:kern w:val="0"/>
          <w:sz w:val="24"/>
          <w:szCs w:val="24"/>
        </w:rPr>
        <w:tab/>
        <w:t xml:space="preserve">In </w:t>
      </w:r>
      <w:r w:rsidRPr="00445F95">
        <w:rPr>
          <w:i/>
          <w:iCs/>
          <w:kern w:val="0"/>
          <w:sz w:val="24"/>
          <w:szCs w:val="24"/>
        </w:rPr>
        <w:t>Metro-Goldwyn-Mayer Studios Inc. v. Grokster, Ltd.</w:t>
      </w:r>
      <w:r w:rsidRPr="00445F95">
        <w:rPr>
          <w:kern w:val="0"/>
          <w:sz w:val="24"/>
          <w:szCs w:val="24"/>
        </w:rPr>
        <w:t xml:space="preserve">, 545 U.S. 913 (2005), the Supreme Court </w:t>
      </w:r>
      <w:r w:rsidR="00B32A5E" w:rsidRPr="00445F95">
        <w:rPr>
          <w:kern w:val="0"/>
          <w:sz w:val="24"/>
          <w:szCs w:val="24"/>
        </w:rPr>
        <w:t xml:space="preserve">adopted “[t]he rule on inducement of infringement.” The Court </w:t>
      </w:r>
      <w:r w:rsidRPr="00445F95">
        <w:rPr>
          <w:kern w:val="0"/>
          <w:sz w:val="24"/>
          <w:szCs w:val="24"/>
        </w:rPr>
        <w:t xml:space="preserve">held that “one who distributes a device with the object of promoting its use to infringe a copyright, as shown by clear expression or other affirmative steps to foster infringement, is liable for the resulting acts of </w:t>
      </w:r>
      <w:r w:rsidRPr="00445F95">
        <w:rPr>
          <w:kern w:val="0"/>
          <w:sz w:val="24"/>
          <w:szCs w:val="24"/>
        </w:rPr>
        <w:lastRenderedPageBreak/>
        <w:t xml:space="preserve">infringement by third parties.” </w:t>
      </w:r>
      <w:r w:rsidRPr="00445F95">
        <w:rPr>
          <w:i/>
          <w:iCs/>
          <w:kern w:val="0"/>
          <w:sz w:val="24"/>
          <w:szCs w:val="24"/>
        </w:rPr>
        <w:t>Id.</w:t>
      </w:r>
      <w:r w:rsidRPr="00445F95">
        <w:rPr>
          <w:kern w:val="0"/>
          <w:sz w:val="24"/>
          <w:szCs w:val="24"/>
        </w:rPr>
        <w:t xml:space="preserve"> at 936-37. The Court clarified that, “in the absence of evidence of intent, a court would be unable to find contributory infringement liability merely based on a failure to take affirmative steps to prevent infringement,  if the device were otherwise capable of substantial noninfringing uses.” </w:t>
      </w:r>
      <w:r w:rsidRPr="00445F95">
        <w:rPr>
          <w:i/>
          <w:iCs/>
          <w:kern w:val="0"/>
          <w:sz w:val="24"/>
          <w:szCs w:val="24"/>
        </w:rPr>
        <w:t>Id.</w:t>
      </w:r>
      <w:r w:rsidRPr="00445F95">
        <w:rPr>
          <w:kern w:val="0"/>
          <w:sz w:val="24"/>
          <w:szCs w:val="24"/>
        </w:rPr>
        <w:t xml:space="preserve"> at 940 n.12. </w:t>
      </w:r>
    </w:p>
    <w:p w14:paraId="4F42572E" w14:textId="77777777" w:rsidR="00445F95" w:rsidRPr="00445F95" w:rsidRDefault="00445F95" w:rsidP="00445F95">
      <w:pPr>
        <w:spacing w:after="0" w:line="240" w:lineRule="auto"/>
        <w:rPr>
          <w:kern w:val="0"/>
          <w:sz w:val="24"/>
          <w:szCs w:val="24"/>
        </w:rPr>
      </w:pPr>
    </w:p>
    <w:p w14:paraId="07F23BDD" w14:textId="681B7F30" w:rsidR="00445F95" w:rsidRDefault="00445F95" w:rsidP="00445F95">
      <w:pPr>
        <w:spacing w:after="0" w:line="240" w:lineRule="auto"/>
        <w:rPr>
          <w:kern w:val="0"/>
          <w:sz w:val="24"/>
          <w:szCs w:val="24"/>
        </w:rPr>
      </w:pPr>
      <w:r w:rsidRPr="00445F95">
        <w:rPr>
          <w:kern w:val="0"/>
          <w:sz w:val="24"/>
          <w:szCs w:val="24"/>
        </w:rPr>
        <w:tab/>
        <w:t xml:space="preserve">In </w:t>
      </w:r>
      <w:r w:rsidRPr="00445F95">
        <w:rPr>
          <w:i/>
          <w:iCs/>
          <w:kern w:val="0"/>
          <w:sz w:val="24"/>
          <w:szCs w:val="24"/>
        </w:rPr>
        <w:t>Columbia Pictures Industries, Inc. v. Fung</w:t>
      </w:r>
      <w:r w:rsidRPr="00445F95">
        <w:rPr>
          <w:kern w:val="0"/>
          <w:sz w:val="24"/>
          <w:szCs w:val="24"/>
        </w:rPr>
        <w:t xml:space="preserve">, 710 F.3d 1020 (9th Cir. 2013), the Ninth Circuit recognized that, under </w:t>
      </w:r>
      <w:r w:rsidRPr="00445F95">
        <w:rPr>
          <w:i/>
          <w:iCs/>
          <w:kern w:val="0"/>
          <w:sz w:val="24"/>
          <w:szCs w:val="24"/>
        </w:rPr>
        <w:t>Grokster</w:t>
      </w:r>
      <w:r w:rsidRPr="00445F95">
        <w:rPr>
          <w:kern w:val="0"/>
          <w:sz w:val="24"/>
          <w:szCs w:val="24"/>
        </w:rPr>
        <w:t>, the inducement rule has</w:t>
      </w:r>
      <w:r w:rsidR="00B32A5E">
        <w:rPr>
          <w:kern w:val="0"/>
          <w:sz w:val="24"/>
          <w:szCs w:val="24"/>
        </w:rPr>
        <w:t xml:space="preserve"> </w:t>
      </w:r>
      <w:r w:rsidRPr="00445F95">
        <w:rPr>
          <w:kern w:val="0"/>
          <w:sz w:val="24"/>
          <w:szCs w:val="24"/>
        </w:rPr>
        <w:t xml:space="preserve">four elements: “(1) the distribution of a device or product, (2) acts of infringement, (3) an object of promoting its use to infringe copyright, and (4) causation.” </w:t>
      </w:r>
      <w:r w:rsidRPr="00445F95">
        <w:rPr>
          <w:i/>
          <w:iCs/>
          <w:kern w:val="0"/>
          <w:sz w:val="24"/>
          <w:szCs w:val="24"/>
        </w:rPr>
        <w:t>Id.</w:t>
      </w:r>
      <w:r w:rsidRPr="00445F95">
        <w:rPr>
          <w:kern w:val="0"/>
          <w:sz w:val="24"/>
          <w:szCs w:val="24"/>
        </w:rPr>
        <w:t xml:space="preserve"> The court explained those elements and clarified that the inducement copyright rule “applies to services available on the internet as well as to devices or products.” </w:t>
      </w:r>
      <w:r w:rsidRPr="00445F95">
        <w:rPr>
          <w:i/>
          <w:iCs/>
          <w:kern w:val="0"/>
          <w:sz w:val="24"/>
          <w:szCs w:val="24"/>
        </w:rPr>
        <w:t>Id.</w:t>
      </w:r>
      <w:r w:rsidRPr="00445F95">
        <w:rPr>
          <w:kern w:val="0"/>
          <w:sz w:val="24"/>
          <w:szCs w:val="24"/>
        </w:rPr>
        <w:t xml:space="preserve"> at 1033-39; </w:t>
      </w:r>
      <w:r w:rsidRPr="00445F95">
        <w:rPr>
          <w:i/>
          <w:iCs/>
          <w:kern w:val="0"/>
          <w:sz w:val="24"/>
          <w:szCs w:val="24"/>
        </w:rPr>
        <w:t>see also Perfect 10, Inc. v. Visa Int’l Serv. Ass’n</w:t>
      </w:r>
      <w:r w:rsidRPr="00445F95">
        <w:rPr>
          <w:kern w:val="0"/>
          <w:sz w:val="24"/>
          <w:szCs w:val="24"/>
        </w:rPr>
        <w:t>, 494 F.3d 788, 795 (9th Cir. 2007) (describing inducement rule and material contribution test as “non-contradictory variations on the same basic test”).</w:t>
      </w:r>
    </w:p>
    <w:p w14:paraId="7F2678A1" w14:textId="77777777" w:rsidR="00445F95" w:rsidRPr="00445F95" w:rsidRDefault="00445F95" w:rsidP="00445F95">
      <w:pPr>
        <w:spacing w:after="0" w:line="240" w:lineRule="auto"/>
        <w:rPr>
          <w:kern w:val="0"/>
          <w:sz w:val="24"/>
          <w:szCs w:val="24"/>
        </w:rPr>
      </w:pPr>
    </w:p>
    <w:p w14:paraId="72EF3FC9" w14:textId="0C916168" w:rsidR="00445F95" w:rsidRDefault="00445F95" w:rsidP="00445F95">
      <w:pPr>
        <w:spacing w:after="0" w:line="240" w:lineRule="auto"/>
        <w:rPr>
          <w:kern w:val="0"/>
          <w:sz w:val="24"/>
          <w:szCs w:val="24"/>
        </w:rPr>
      </w:pPr>
      <w:r w:rsidRPr="00445F95">
        <w:rPr>
          <w:kern w:val="0"/>
          <w:sz w:val="24"/>
          <w:szCs w:val="24"/>
        </w:rPr>
        <w:tab/>
        <w:t xml:space="preserve">In </w:t>
      </w:r>
      <w:r w:rsidRPr="00445F95">
        <w:rPr>
          <w:i/>
          <w:iCs/>
          <w:kern w:val="0"/>
          <w:sz w:val="24"/>
          <w:szCs w:val="24"/>
        </w:rPr>
        <w:t>Perfect 10, Inc. v. Giganews, Inc.</w:t>
      </w:r>
      <w:r w:rsidRPr="00445F95">
        <w:rPr>
          <w:kern w:val="0"/>
          <w:sz w:val="24"/>
          <w:szCs w:val="24"/>
        </w:rPr>
        <w:t xml:space="preserve">, 847 F.3d 657, 671 (9th Cir. 2017), the court addressed material contribution to infringement in the online context and explained that “a computer system operator may be liable under a material contribution theory if it has </w:t>
      </w:r>
      <w:r w:rsidRPr="00B26BB1">
        <w:rPr>
          <w:kern w:val="0"/>
          <w:sz w:val="24"/>
          <w:szCs w:val="24"/>
        </w:rPr>
        <w:t>actual</w:t>
      </w:r>
      <w:r w:rsidRPr="00445F95">
        <w:rPr>
          <w:kern w:val="0"/>
          <w:sz w:val="24"/>
          <w:szCs w:val="24"/>
        </w:rPr>
        <w:t xml:space="preserve"> knowledge that  specific infringing  material is available using its systems, and can take simple measures to prevent further” infringement, and yet fails to do so. </w:t>
      </w:r>
      <w:r w:rsidRPr="00B26BB1">
        <w:rPr>
          <w:i/>
          <w:iCs/>
          <w:kern w:val="0"/>
          <w:sz w:val="24"/>
          <w:szCs w:val="24"/>
        </w:rPr>
        <w:t>Id</w:t>
      </w:r>
      <w:r w:rsidRPr="00B26BB1">
        <w:rPr>
          <w:kern w:val="0"/>
          <w:sz w:val="24"/>
          <w:szCs w:val="24"/>
        </w:rPr>
        <w:t>.</w:t>
      </w:r>
      <w:r w:rsidRPr="00445F95">
        <w:rPr>
          <w:kern w:val="0"/>
          <w:sz w:val="24"/>
          <w:szCs w:val="24"/>
        </w:rPr>
        <w:t xml:space="preserve"> (internal quotation marks omitted); </w:t>
      </w:r>
      <w:r w:rsidRPr="00445F95">
        <w:rPr>
          <w:i/>
          <w:iCs/>
          <w:kern w:val="0"/>
          <w:sz w:val="24"/>
          <w:szCs w:val="24"/>
        </w:rPr>
        <w:t>see also VHT, Inc. v. Zillow Grp.</w:t>
      </w:r>
      <w:r w:rsidRPr="00445F95">
        <w:rPr>
          <w:kern w:val="0"/>
          <w:sz w:val="24"/>
          <w:szCs w:val="24"/>
        </w:rPr>
        <w:t>, 918 F.3d 723, 745 (9th Cir. 2019) (holding that Zillow’s actions did not constitute “material contribution or inducement” because it had no means to identify the allegedly infringing images uploaded by users and thus did not have “appropriately ‘specific’ information necessary to take ‘simple measures’ to remedy the violation”).</w:t>
      </w:r>
    </w:p>
    <w:p w14:paraId="3FFC1B5B" w14:textId="77777777" w:rsidR="00445F95" w:rsidRPr="00445F95" w:rsidRDefault="00445F95" w:rsidP="00445F95">
      <w:pPr>
        <w:spacing w:after="0" w:line="240" w:lineRule="auto"/>
        <w:rPr>
          <w:kern w:val="0"/>
          <w:sz w:val="24"/>
          <w:szCs w:val="24"/>
        </w:rPr>
      </w:pPr>
    </w:p>
    <w:p w14:paraId="5F6EEC31" w14:textId="45B24B3A" w:rsidR="00445F95" w:rsidRDefault="00445F95" w:rsidP="00445F95">
      <w:pPr>
        <w:spacing w:after="0" w:line="240" w:lineRule="auto"/>
        <w:rPr>
          <w:kern w:val="0"/>
          <w:sz w:val="24"/>
          <w:szCs w:val="24"/>
        </w:rPr>
      </w:pPr>
      <w:r w:rsidRPr="00445F95">
        <w:rPr>
          <w:kern w:val="0"/>
          <w:sz w:val="24"/>
          <w:szCs w:val="24"/>
        </w:rPr>
        <w:tab/>
        <w:t xml:space="preserve">The bracketed language in the jury instruction paraphrases the test for inducement set forth in </w:t>
      </w:r>
      <w:r w:rsidRPr="00445F95">
        <w:rPr>
          <w:i/>
          <w:iCs/>
          <w:kern w:val="0"/>
          <w:sz w:val="24"/>
          <w:szCs w:val="24"/>
        </w:rPr>
        <w:t>Grokster</w:t>
      </w:r>
      <w:r w:rsidRPr="00445F95">
        <w:rPr>
          <w:kern w:val="0"/>
          <w:sz w:val="24"/>
          <w:szCs w:val="24"/>
        </w:rPr>
        <w:t>, 545 U.S. at 919, 936-37 (2005)</w:t>
      </w:r>
      <w:r w:rsidRPr="00445F95">
        <w:rPr>
          <w:color w:val="FF0000"/>
          <w:kern w:val="0"/>
          <w:sz w:val="24"/>
          <w:szCs w:val="24"/>
          <w:u w:val="single"/>
        </w:rPr>
        <w:t>,</w:t>
      </w:r>
      <w:r w:rsidRPr="00445F95">
        <w:rPr>
          <w:kern w:val="0"/>
          <w:sz w:val="24"/>
          <w:szCs w:val="24"/>
        </w:rPr>
        <w:t xml:space="preserve"> and reiterated in</w:t>
      </w:r>
      <w:r w:rsidRPr="00445F95">
        <w:rPr>
          <w:i/>
          <w:iCs/>
          <w:kern w:val="0"/>
          <w:sz w:val="24"/>
          <w:szCs w:val="24"/>
        </w:rPr>
        <w:t xml:space="preserve"> Columbia Pictures</w:t>
      </w:r>
      <w:r w:rsidRPr="00445F95">
        <w:rPr>
          <w:kern w:val="0"/>
          <w:sz w:val="24"/>
          <w:szCs w:val="24"/>
        </w:rPr>
        <w:t xml:space="preserve">, 710 F.3d at 1032. The court should include this language if there is a dispute regarding whether the defendant took sufficient action, or any action, demonstrating its intent to encourage infringement. </w:t>
      </w:r>
      <w:r w:rsidRPr="00445F95">
        <w:rPr>
          <w:i/>
          <w:iCs/>
          <w:kern w:val="0"/>
          <w:sz w:val="24"/>
          <w:szCs w:val="24"/>
        </w:rPr>
        <w:t>See, e.g., id.</w:t>
      </w:r>
      <w:r w:rsidRPr="00445F95">
        <w:rPr>
          <w:kern w:val="0"/>
          <w:sz w:val="24"/>
          <w:szCs w:val="24"/>
        </w:rPr>
        <w:t xml:space="preserve"> at 1035- 36 (“As for the necessary ‘clear expression or other affirmative steps’ evidence indicative of unlawful intent, the most important is Fung’s active encouragement of the uploading of torrent files concerning copyrighted content.”).</w:t>
      </w:r>
    </w:p>
    <w:p w14:paraId="6EBF7F09" w14:textId="77777777" w:rsidR="007D6ACB" w:rsidRDefault="007D6ACB" w:rsidP="00445F95">
      <w:pPr>
        <w:spacing w:after="0" w:line="240" w:lineRule="auto"/>
        <w:rPr>
          <w:kern w:val="0"/>
          <w:sz w:val="24"/>
          <w:szCs w:val="24"/>
        </w:rPr>
      </w:pPr>
    </w:p>
    <w:p w14:paraId="23C36112" w14:textId="39009428" w:rsidR="007D6ACB" w:rsidRPr="00A50F97" w:rsidRDefault="00A50F97" w:rsidP="007D6ACB">
      <w:pPr>
        <w:spacing w:after="0" w:line="240" w:lineRule="auto"/>
        <w:jc w:val="right"/>
        <w:rPr>
          <w:i/>
          <w:iCs/>
          <w:kern w:val="0"/>
          <w:sz w:val="24"/>
          <w:szCs w:val="24"/>
        </w:rPr>
      </w:pPr>
      <w:r>
        <w:rPr>
          <w:i/>
          <w:iCs/>
          <w:kern w:val="0"/>
          <w:sz w:val="24"/>
          <w:szCs w:val="24"/>
        </w:rPr>
        <w:t>Revised Dec. 2023</w:t>
      </w:r>
    </w:p>
    <w:p w14:paraId="63FCC064" w14:textId="77777777" w:rsidR="00445F95" w:rsidRPr="00445F95" w:rsidRDefault="00445F95" w:rsidP="00445F95">
      <w:pPr>
        <w:spacing w:after="0" w:line="240" w:lineRule="auto"/>
        <w:rPr>
          <w:kern w:val="0"/>
          <w:sz w:val="24"/>
          <w:szCs w:val="24"/>
        </w:rPr>
      </w:pPr>
    </w:p>
    <w:p w14:paraId="139EA6A0" w14:textId="30ABB768" w:rsidR="00FE7F82" w:rsidRPr="00445F95" w:rsidRDefault="00445F95" w:rsidP="00445F95">
      <w:pPr>
        <w:spacing w:after="0" w:line="240" w:lineRule="auto"/>
        <w:rPr>
          <w:sz w:val="24"/>
          <w:szCs w:val="24"/>
        </w:rPr>
      </w:pPr>
      <w:r w:rsidRPr="00445F95">
        <w:rPr>
          <w:kern w:val="0"/>
          <w:sz w:val="24"/>
          <w:szCs w:val="24"/>
        </w:rPr>
        <w:tab/>
      </w:r>
    </w:p>
    <w:sectPr w:rsidR="00FE7F82" w:rsidRPr="00445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B71A9"/>
    <w:multiLevelType w:val="hybridMultilevel"/>
    <w:tmpl w:val="E158A0E6"/>
    <w:lvl w:ilvl="0" w:tplc="19CAD51C">
      <w:start w:val="1"/>
      <w:numFmt w:val="decimal"/>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9881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F95"/>
    <w:rsid w:val="00445F95"/>
    <w:rsid w:val="007D6ACB"/>
    <w:rsid w:val="007E5E5D"/>
    <w:rsid w:val="00887257"/>
    <w:rsid w:val="00944B32"/>
    <w:rsid w:val="0098446E"/>
    <w:rsid w:val="00A50F97"/>
    <w:rsid w:val="00B26BB1"/>
    <w:rsid w:val="00B32A5E"/>
    <w:rsid w:val="00FE7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BA70"/>
  <w15:chartTrackingRefBased/>
  <w15:docId w15:val="{6D5B1F82-3E74-4B0A-BB3A-A559F0303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F95"/>
    <w:rPr>
      <w:rFonts w:ascii="Times New Roman" w:hAnsi="Times New Roman"/>
      <w:kern w:val="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45F95"/>
    <w:pPr>
      <w:widowControl w:val="0"/>
      <w:autoSpaceDE w:val="0"/>
      <w:autoSpaceDN w:val="0"/>
      <w:spacing w:after="0" w:line="240" w:lineRule="auto"/>
    </w:pPr>
    <w:rPr>
      <w:rFonts w:eastAsia="Times New Roman" w:cs="Times New Roman"/>
      <w:kern w:val="0"/>
      <w:sz w:val="23"/>
      <w:szCs w:val="23"/>
    </w:rPr>
  </w:style>
  <w:style w:type="character" w:customStyle="1" w:styleId="BodyTextChar">
    <w:name w:val="Body Text Char"/>
    <w:basedOn w:val="DefaultParagraphFont"/>
    <w:link w:val="BodyText"/>
    <w:uiPriority w:val="1"/>
    <w:rsid w:val="00445F95"/>
    <w:rPr>
      <w:rFonts w:ascii="Times New Roman" w:eastAsia="Times New Roman" w:hAnsi="Times New Roman" w:cs="Times New Roman"/>
      <w:sz w:val="23"/>
      <w:szCs w:val="23"/>
    </w:rPr>
  </w:style>
  <w:style w:type="paragraph" w:styleId="ListParagraph">
    <w:name w:val="List Paragraph"/>
    <w:basedOn w:val="Normal"/>
    <w:uiPriority w:val="34"/>
    <w:qFormat/>
    <w:rsid w:val="00445F95"/>
    <w:pPr>
      <w:ind w:left="720"/>
      <w:contextualSpacing/>
    </w:pPr>
  </w:style>
  <w:style w:type="paragraph" w:styleId="Revision">
    <w:name w:val="Revision"/>
    <w:hidden/>
    <w:uiPriority w:val="99"/>
    <w:semiHidden/>
    <w:rsid w:val="00944B32"/>
    <w:pPr>
      <w:spacing w:after="0" w:line="240" w:lineRule="auto"/>
    </w:pPr>
    <w:rPr>
      <w:rFonts w:ascii="Times New Roman" w:hAnsi="Times New Roman"/>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827</Words>
  <Characters>4717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Samriddhi Rana</cp:lastModifiedBy>
  <cp:revision>7</cp:revision>
  <dcterms:created xsi:type="dcterms:W3CDTF">2024-02-04T01:31:00Z</dcterms:created>
  <dcterms:modified xsi:type="dcterms:W3CDTF">2024-03-26T22:35:00Z</dcterms:modified>
</cp:coreProperties>
</file>