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00B2" w14:textId="77777777" w:rsidR="005A0735" w:rsidRPr="00E7725E" w:rsidRDefault="005A0735" w:rsidP="005A0735">
      <w:pPr>
        <w:pStyle w:val="Heading1"/>
        <w:numPr>
          <w:ilvl w:val="1"/>
          <w:numId w:val="3"/>
        </w:numPr>
        <w:tabs>
          <w:tab w:val="left" w:pos="2138"/>
        </w:tabs>
        <w:spacing w:before="35" w:line="247" w:lineRule="auto"/>
        <w:ind w:right="1494"/>
        <w:jc w:val="center"/>
      </w:pPr>
      <w:r w:rsidRPr="00E7725E">
        <w:t xml:space="preserve">COPYRIGHT—AFFIRMATIVE DEFENSE—FAIR </w:t>
      </w:r>
      <w:r w:rsidRPr="00E7725E">
        <w:rPr>
          <w:spacing w:val="-5"/>
        </w:rPr>
        <w:t xml:space="preserve">USE </w:t>
      </w:r>
      <w:r w:rsidRPr="00E7725E">
        <w:t>(17 U.S.C. §</w:t>
      </w:r>
      <w:r w:rsidRPr="00E7725E">
        <w:rPr>
          <w:spacing w:val="-1"/>
        </w:rPr>
        <w:t xml:space="preserve"> </w:t>
      </w:r>
      <w:r w:rsidRPr="00E7725E">
        <w:t>107)</w:t>
      </w:r>
    </w:p>
    <w:p w14:paraId="65897A36" w14:textId="77777777" w:rsidR="005A0735" w:rsidRPr="00E7725E" w:rsidRDefault="005A0735" w:rsidP="005A0735">
      <w:pPr>
        <w:pStyle w:val="BodyText"/>
        <w:rPr>
          <w:b/>
        </w:rPr>
      </w:pPr>
    </w:p>
    <w:p w14:paraId="662269BE" w14:textId="77777777" w:rsidR="005A0735" w:rsidRPr="00E7725E" w:rsidRDefault="005A0735" w:rsidP="005A0735">
      <w:pPr>
        <w:pStyle w:val="BodyText"/>
        <w:spacing w:line="247" w:lineRule="auto"/>
        <w:ind w:left="100" w:right="129" w:firstLine="720"/>
      </w:pPr>
      <w:r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513F8F17" w14:textId="77777777" w:rsidR="005A0735" w:rsidRPr="00E7725E" w:rsidRDefault="005A0735" w:rsidP="005A0735">
      <w:pPr>
        <w:pStyle w:val="BodyText"/>
        <w:spacing w:before="3"/>
      </w:pPr>
    </w:p>
    <w:p w14:paraId="0E6142DF" w14:textId="77777777" w:rsidR="005A0735" w:rsidRPr="00E7725E" w:rsidRDefault="005A0735" w:rsidP="005A0735">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44F0C80" w14:textId="77777777" w:rsidR="005A0735" w:rsidRPr="00E7725E" w:rsidRDefault="005A0735" w:rsidP="005A0735">
      <w:pPr>
        <w:pStyle w:val="BodyText"/>
        <w:spacing w:before="3"/>
      </w:pPr>
    </w:p>
    <w:p w14:paraId="279F59C7" w14:textId="77777777" w:rsidR="005A0735" w:rsidRPr="00E7725E" w:rsidRDefault="005A0735" w:rsidP="005A0735">
      <w:pPr>
        <w:pStyle w:val="BodyText"/>
        <w:spacing w:line="247" w:lineRule="auto"/>
        <w:ind w:left="100" w:right="129" w:firstLine="720"/>
      </w:pPr>
      <w:r w:rsidRPr="00E7725E">
        <w:t>In determining whether the use made of the work was fair, you should consider the following factors:</w:t>
      </w:r>
    </w:p>
    <w:p w14:paraId="2743E184" w14:textId="77777777" w:rsidR="005A0735" w:rsidRPr="00E7725E" w:rsidRDefault="005A0735" w:rsidP="005A0735">
      <w:pPr>
        <w:pStyle w:val="BodyText"/>
        <w:spacing w:before="5"/>
      </w:pPr>
    </w:p>
    <w:p w14:paraId="722F3D99" w14:textId="77777777" w:rsidR="005A0735" w:rsidRPr="00E7725E" w:rsidRDefault="005A0735" w:rsidP="005A0735">
      <w:pPr>
        <w:pStyle w:val="ListParagraph"/>
        <w:widowControl w:val="0"/>
        <w:numPr>
          <w:ilvl w:val="0"/>
          <w:numId w:val="2"/>
        </w:numPr>
        <w:tabs>
          <w:tab w:val="left" w:pos="1539"/>
          <w:tab w:val="left" w:pos="1540"/>
        </w:tabs>
        <w:autoSpaceDE w:val="0"/>
        <w:autoSpaceDN w:val="0"/>
        <w:spacing w:after="0" w:line="247" w:lineRule="auto"/>
        <w:ind w:right="165"/>
        <w:contextualSpacing w:val="0"/>
        <w:rPr>
          <w:rFonts w:ascii="Times New Roman" w:hAnsi="Times New Roman" w:cs="Times New Roman"/>
          <w:sz w:val="24"/>
          <w:szCs w:val="24"/>
        </w:rPr>
      </w:pPr>
      <w:r w:rsidRPr="00E7725E">
        <w:rPr>
          <w:rFonts w:ascii="Times New Roman" w:hAnsi="Times New Roman" w:cs="Times New Roman"/>
          <w:sz w:val="24"/>
          <w:szCs w:val="24"/>
        </w:rPr>
        <w:t>the purpose and character of the use, including whether the use is of a</w:t>
      </w:r>
      <w:r w:rsidRPr="00E7725E">
        <w:rPr>
          <w:rFonts w:ascii="Times New Roman" w:hAnsi="Times New Roman" w:cs="Times New Roman"/>
          <w:spacing w:val="-28"/>
          <w:sz w:val="24"/>
          <w:szCs w:val="24"/>
        </w:rPr>
        <w:t xml:space="preserve"> </w:t>
      </w:r>
      <w:r w:rsidRPr="00E7725E">
        <w:rPr>
          <w:rFonts w:ascii="Times New Roman" w:hAnsi="Times New Roman" w:cs="Times New Roman"/>
          <w:sz w:val="24"/>
          <w:szCs w:val="24"/>
        </w:rPr>
        <w:t>commercial nature or is for nonprofit educational purposes;</w:t>
      </w:r>
    </w:p>
    <w:p w14:paraId="195AFCB6" w14:textId="77777777" w:rsidR="005A0735" w:rsidRPr="00E7725E" w:rsidRDefault="005A0735" w:rsidP="005A0735">
      <w:pPr>
        <w:pStyle w:val="BodyText"/>
        <w:spacing w:before="5"/>
      </w:pPr>
    </w:p>
    <w:p w14:paraId="529D9BC5" w14:textId="77777777" w:rsidR="005A0735" w:rsidRPr="00E7725E" w:rsidRDefault="005A0735" w:rsidP="005A0735">
      <w:pPr>
        <w:pStyle w:val="ListParagraph"/>
        <w:widowControl w:val="0"/>
        <w:numPr>
          <w:ilvl w:val="0"/>
          <w:numId w:val="2"/>
        </w:numPr>
        <w:tabs>
          <w:tab w:val="left" w:pos="1539"/>
          <w:tab w:val="left" w:pos="1540"/>
        </w:tabs>
        <w:autoSpaceDE w:val="0"/>
        <w:autoSpaceDN w:val="0"/>
        <w:spacing w:after="0" w:line="240" w:lineRule="auto"/>
        <w:contextualSpacing w:val="0"/>
        <w:rPr>
          <w:rFonts w:ascii="Times New Roman" w:hAnsi="Times New Roman" w:cs="Times New Roman"/>
          <w:sz w:val="24"/>
          <w:szCs w:val="24"/>
        </w:rPr>
      </w:pPr>
      <w:r w:rsidRPr="00E7725E">
        <w:rPr>
          <w:rFonts w:ascii="Times New Roman" w:hAnsi="Times New Roman" w:cs="Times New Roman"/>
          <w:sz w:val="24"/>
          <w:szCs w:val="24"/>
        </w:rPr>
        <w:t>the nature of the copyrighted</w:t>
      </w:r>
      <w:r w:rsidRPr="00E7725E">
        <w:rPr>
          <w:rFonts w:ascii="Times New Roman" w:hAnsi="Times New Roman" w:cs="Times New Roman"/>
          <w:spacing w:val="-1"/>
          <w:sz w:val="24"/>
          <w:szCs w:val="24"/>
        </w:rPr>
        <w:t xml:space="preserve"> </w:t>
      </w:r>
      <w:r w:rsidRPr="00E7725E">
        <w:rPr>
          <w:rFonts w:ascii="Times New Roman" w:hAnsi="Times New Roman" w:cs="Times New Roman"/>
          <w:sz w:val="24"/>
          <w:szCs w:val="24"/>
        </w:rPr>
        <w:t>work;</w:t>
      </w:r>
    </w:p>
    <w:p w14:paraId="036DC39D" w14:textId="77777777" w:rsidR="005A0735" w:rsidRPr="00E7725E" w:rsidRDefault="005A0735" w:rsidP="005A0735">
      <w:pPr>
        <w:pStyle w:val="BodyText"/>
        <w:spacing w:before="3"/>
      </w:pPr>
    </w:p>
    <w:p w14:paraId="24F618DB" w14:textId="77777777" w:rsidR="005A0735" w:rsidRPr="00E7725E" w:rsidRDefault="005A0735" w:rsidP="005A0735">
      <w:pPr>
        <w:pStyle w:val="ListParagraph"/>
        <w:widowControl w:val="0"/>
        <w:numPr>
          <w:ilvl w:val="0"/>
          <w:numId w:val="2"/>
        </w:numPr>
        <w:tabs>
          <w:tab w:val="left" w:pos="1539"/>
          <w:tab w:val="left" w:pos="1540"/>
        </w:tabs>
        <w:autoSpaceDE w:val="0"/>
        <w:autoSpaceDN w:val="0"/>
        <w:spacing w:after="0" w:line="247" w:lineRule="auto"/>
        <w:ind w:right="525"/>
        <w:contextualSpacing w:val="0"/>
        <w:rPr>
          <w:rFonts w:ascii="Times New Roman" w:hAnsi="Times New Roman" w:cs="Times New Roman"/>
          <w:sz w:val="24"/>
          <w:szCs w:val="24"/>
        </w:rPr>
      </w:pPr>
      <w:r w:rsidRPr="00E7725E">
        <w:rPr>
          <w:rFonts w:ascii="Times New Roman" w:hAnsi="Times New Roman" w:cs="Times New Roman"/>
          <w:sz w:val="24"/>
          <w:szCs w:val="24"/>
        </w:rPr>
        <w:t xml:space="preserve">the amount and substantiality of the portion used in relation to the </w:t>
      </w:r>
      <w:r w:rsidRPr="00E7725E">
        <w:rPr>
          <w:rFonts w:ascii="Times New Roman" w:hAnsi="Times New Roman" w:cs="Times New Roman"/>
          <w:spacing w:val="-4"/>
          <w:sz w:val="24"/>
          <w:szCs w:val="24"/>
        </w:rPr>
        <w:t xml:space="preserve">copyrighted </w:t>
      </w:r>
      <w:r w:rsidRPr="00E7725E">
        <w:rPr>
          <w:rFonts w:ascii="Times New Roman" w:hAnsi="Times New Roman" w:cs="Times New Roman"/>
          <w:sz w:val="24"/>
          <w:szCs w:val="24"/>
        </w:rPr>
        <w:t>work as a whole;</w:t>
      </w:r>
    </w:p>
    <w:p w14:paraId="10245397" w14:textId="77777777" w:rsidR="005A0735" w:rsidRPr="00E7725E" w:rsidRDefault="005A0735" w:rsidP="005A0735">
      <w:pPr>
        <w:pStyle w:val="BodyText"/>
        <w:spacing w:before="5"/>
      </w:pPr>
    </w:p>
    <w:p w14:paraId="5CA78D03" w14:textId="77777777" w:rsidR="005A0735" w:rsidRPr="00E7725E" w:rsidRDefault="005A0735" w:rsidP="005A0735">
      <w:pPr>
        <w:pStyle w:val="ListParagraph"/>
        <w:widowControl w:val="0"/>
        <w:numPr>
          <w:ilvl w:val="0"/>
          <w:numId w:val="2"/>
        </w:numPr>
        <w:tabs>
          <w:tab w:val="left" w:pos="1539"/>
          <w:tab w:val="left" w:pos="1540"/>
        </w:tabs>
        <w:autoSpaceDE w:val="0"/>
        <w:autoSpaceDN w:val="0"/>
        <w:spacing w:after="0" w:line="247" w:lineRule="auto"/>
        <w:ind w:right="650"/>
        <w:contextualSpacing w:val="0"/>
        <w:rPr>
          <w:rFonts w:ascii="Times New Roman" w:hAnsi="Times New Roman" w:cs="Times New Roman"/>
          <w:sz w:val="24"/>
          <w:szCs w:val="24"/>
        </w:rPr>
      </w:pPr>
      <w:r w:rsidRPr="00E7725E">
        <w:rPr>
          <w:rFonts w:ascii="Times New Roman" w:hAnsi="Times New Roman" w:cs="Times New Roman"/>
          <w:sz w:val="24"/>
          <w:szCs w:val="24"/>
        </w:rPr>
        <w:t xml:space="preserve">the effect of the use upon the potential market for or value of the </w:t>
      </w:r>
      <w:r w:rsidRPr="00E7725E">
        <w:rPr>
          <w:rFonts w:ascii="Times New Roman" w:hAnsi="Times New Roman" w:cs="Times New Roman"/>
          <w:spacing w:val="-5"/>
          <w:sz w:val="24"/>
          <w:szCs w:val="24"/>
        </w:rPr>
        <w:t xml:space="preserve">copyrighted </w:t>
      </w:r>
      <w:r w:rsidRPr="00E7725E">
        <w:rPr>
          <w:rFonts w:ascii="Times New Roman" w:hAnsi="Times New Roman" w:cs="Times New Roman"/>
          <w:sz w:val="24"/>
          <w:szCs w:val="24"/>
        </w:rPr>
        <w:t>work; and</w:t>
      </w:r>
    </w:p>
    <w:p w14:paraId="22D99F08" w14:textId="77777777" w:rsidR="005A0735" w:rsidRPr="00E7725E" w:rsidRDefault="005A0735" w:rsidP="005A0735">
      <w:pPr>
        <w:pStyle w:val="BodyText"/>
        <w:spacing w:before="4"/>
      </w:pPr>
    </w:p>
    <w:p w14:paraId="11B6C1D0" w14:textId="77777777" w:rsidR="005A0735" w:rsidRPr="00E7725E" w:rsidRDefault="005A0735" w:rsidP="005A0735">
      <w:pPr>
        <w:tabs>
          <w:tab w:val="left" w:pos="1539"/>
        </w:tabs>
        <w:spacing w:before="59"/>
        <w:ind w:left="820"/>
        <w:rPr>
          <w:rFonts w:ascii="Times New Roman" w:hAnsi="Times New Roman" w:cs="Times New Roman"/>
          <w:sz w:val="24"/>
          <w:szCs w:val="24"/>
        </w:rPr>
      </w:pPr>
      <w:r w:rsidRPr="00E7725E">
        <w:rPr>
          <w:rFonts w:ascii="Times New Roman" w:hAnsi="Times New Roman" w:cs="Times New Roman"/>
          <w:sz w:val="24"/>
          <w:szCs w:val="24"/>
        </w:rPr>
        <w:t>[(5)]</w:t>
      </w:r>
      <w:r w:rsidRPr="00E7725E">
        <w:rPr>
          <w:rFonts w:ascii="Times New Roman" w:hAnsi="Times New Roman" w:cs="Times New Roman"/>
          <w:sz w:val="24"/>
          <w:szCs w:val="24"/>
        </w:rPr>
        <w:tab/>
        <w:t>[</w:t>
      </w:r>
      <w:r w:rsidRPr="00E7725E">
        <w:rPr>
          <w:rFonts w:ascii="Times New Roman" w:hAnsi="Times New Roman" w:cs="Times New Roman"/>
          <w:i/>
          <w:sz w:val="24"/>
          <w:szCs w:val="24"/>
          <w:u w:val="single"/>
        </w:rPr>
        <w:t>insert any other factor that bears on the issue of fair use</w:t>
      </w:r>
      <w:r w:rsidRPr="00E7725E">
        <w:rPr>
          <w:rFonts w:ascii="Times New Roman" w:hAnsi="Times New Roman" w:cs="Times New Roman"/>
          <w:sz w:val="24"/>
          <w:szCs w:val="24"/>
        </w:rPr>
        <w:t>].</w:t>
      </w:r>
    </w:p>
    <w:p w14:paraId="2B35FC1D" w14:textId="77777777" w:rsidR="005A0735" w:rsidRPr="00E7725E" w:rsidRDefault="005A0735" w:rsidP="005A0735">
      <w:pPr>
        <w:pStyle w:val="BodyText"/>
        <w:spacing w:before="3"/>
      </w:pPr>
    </w:p>
    <w:p w14:paraId="5115BD2D" w14:textId="77777777" w:rsidR="005A0735" w:rsidRPr="00E7725E" w:rsidRDefault="005A0735" w:rsidP="005A0735">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4A073C9E" w14:textId="77777777" w:rsidR="005A0735" w:rsidRPr="00E7725E" w:rsidRDefault="005A0735" w:rsidP="005A0735">
      <w:pPr>
        <w:pStyle w:val="BodyText"/>
        <w:spacing w:before="10"/>
      </w:pPr>
    </w:p>
    <w:p w14:paraId="12AD4800" w14:textId="77777777" w:rsidR="005A0735" w:rsidRPr="00E7725E" w:rsidRDefault="005A0735" w:rsidP="005A0735">
      <w:pPr>
        <w:pStyle w:val="Heading1"/>
        <w:jc w:val="center"/>
      </w:pPr>
      <w:r w:rsidRPr="00E7725E">
        <w:t>Comment</w:t>
      </w:r>
    </w:p>
    <w:p w14:paraId="1CAFF03C" w14:textId="77777777" w:rsidR="005A0735" w:rsidRPr="00E7725E" w:rsidRDefault="005A0735" w:rsidP="005A0735">
      <w:pPr>
        <w:pStyle w:val="BodyText"/>
        <w:spacing w:before="9"/>
        <w:rPr>
          <w:b/>
        </w:rPr>
      </w:pPr>
    </w:p>
    <w:p w14:paraId="249FE52C" w14:textId="77777777" w:rsidR="005A0735" w:rsidRPr="00E7725E" w:rsidRDefault="005A0735" w:rsidP="005A0735">
      <w:pPr>
        <w:pStyle w:val="BodyText"/>
        <w:spacing w:before="1" w:line="247" w:lineRule="auto"/>
        <w:ind w:left="100" w:right="129" w:firstLine="720"/>
      </w:pPr>
      <w:r w:rsidRPr="00E7725E">
        <w:t xml:space="preserve">Fair use is generally an affirmative defense. </w:t>
      </w:r>
      <w:r w:rsidRPr="00E7725E">
        <w:rPr>
          <w:i/>
        </w:rPr>
        <w:t>See e.g.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xml:space="preserve">, 510 U.S. 569, 577 </w:t>
      </w:r>
      <w:r w:rsidRPr="00E7725E">
        <w:lastRenderedPageBreak/>
        <w:t>(1994)).</w:t>
      </w:r>
    </w:p>
    <w:p w14:paraId="25278561" w14:textId="77777777" w:rsidR="005A0735" w:rsidRPr="00E7725E" w:rsidRDefault="005A0735" w:rsidP="005A0735">
      <w:pPr>
        <w:pStyle w:val="BodyText"/>
        <w:spacing w:before="1" w:line="247" w:lineRule="auto"/>
        <w:ind w:left="100" w:right="129" w:firstLine="720"/>
      </w:pPr>
    </w:p>
    <w:p w14:paraId="78349D25" w14:textId="77777777" w:rsidR="005A0735" w:rsidRPr="00E7725E" w:rsidRDefault="005A0735" w:rsidP="005A0735">
      <w:pPr>
        <w:spacing w:before="30" w:line="247" w:lineRule="auto"/>
        <w:ind w:left="100" w:right="227" w:firstLine="720"/>
        <w:rPr>
          <w:rFonts w:ascii="Times New Roman" w:hAnsi="Times New Roman" w:cs="Times New Roman"/>
          <w:sz w:val="24"/>
          <w:szCs w:val="24"/>
        </w:rPr>
      </w:pPr>
      <w:r w:rsidRPr="00E7725E">
        <w:rPr>
          <w:rFonts w:ascii="Times New Roman" w:hAnsi="Times New Roman" w:cs="Times New Roman"/>
          <w:sz w:val="24"/>
          <w:szCs w:val="24"/>
        </w:rPr>
        <w:t xml:space="preserve">The first paragraph of this instruction describing the effect of a fair use finding is drawn from </w:t>
      </w:r>
      <w:r w:rsidRPr="00E7725E">
        <w:rPr>
          <w:rFonts w:ascii="Times New Roman" w:hAnsi="Times New Roman" w:cs="Times New Roman"/>
          <w:i/>
          <w:sz w:val="24"/>
          <w:szCs w:val="24"/>
        </w:rPr>
        <w:t>Triad Systems Corp. v. Southeastern Express Co.</w:t>
      </w:r>
      <w:r w:rsidRPr="00E7725E">
        <w:rPr>
          <w:rFonts w:ascii="Times New Roman" w:hAnsi="Times New Roman" w:cs="Times New Roman"/>
          <w:sz w:val="24"/>
          <w:szCs w:val="24"/>
        </w:rPr>
        <w:t xml:space="preserve">, 64 F.3d 1330, 1336 (9th Cir. 1995) (holding that fair use permits use of copyrighted material in reasonable manner without consent of copyright owner), </w:t>
      </w:r>
      <w:r w:rsidRPr="00E7725E">
        <w:rPr>
          <w:rFonts w:ascii="Times New Roman" w:hAnsi="Times New Roman" w:cs="Times New Roman"/>
          <w:i/>
          <w:sz w:val="24"/>
          <w:szCs w:val="24"/>
        </w:rPr>
        <w:t>superseded by statute as stated in Apple Inc. v. Psystar Corp</w:t>
      </w:r>
      <w:r w:rsidRPr="00E7725E">
        <w:rPr>
          <w:rFonts w:ascii="Times New Roman" w:hAnsi="Times New Roman" w:cs="Times New Roman"/>
          <w:sz w:val="24"/>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ascii="Times New Roman" w:hAnsi="Times New Roman" w:cs="Times New Roman"/>
          <w:i/>
          <w:sz w:val="24"/>
          <w:szCs w:val="24"/>
        </w:rPr>
        <w:t>See Elvis Presley Enters., Inc. v. Passport Video</w:t>
      </w:r>
      <w:r w:rsidRPr="00E7725E">
        <w:rPr>
          <w:rFonts w:ascii="Times New Roman" w:hAnsi="Times New Roman" w:cs="Times New Roman"/>
          <w:sz w:val="24"/>
          <w:szCs w:val="24"/>
        </w:rPr>
        <w:t xml:space="preserve">, 349 F.3d 622, 627 (9th Cir. 2003) (“[W]e may not treat the [fair use] factors in isolation from one another.”), </w:t>
      </w:r>
      <w:r w:rsidRPr="00E7725E">
        <w:rPr>
          <w:rFonts w:ascii="Times New Roman" w:hAnsi="Times New Roman" w:cs="Times New Roman"/>
          <w:i/>
          <w:sz w:val="24"/>
          <w:szCs w:val="24"/>
        </w:rPr>
        <w:t>overruling on other grounds recognized by Seltzer v. Green Day, Inc</w:t>
      </w:r>
      <w:r w:rsidRPr="00E7725E">
        <w:rPr>
          <w:rFonts w:ascii="Times New Roman" w:hAnsi="Times New Roman" w:cs="Times New Roman"/>
          <w:sz w:val="24"/>
          <w:szCs w:val="24"/>
        </w:rPr>
        <w:t xml:space="preserve">., 725 F.3d 1170, 1177 (9th Cir. 2013); </w:t>
      </w:r>
      <w:r w:rsidRPr="00E7725E">
        <w:rPr>
          <w:rFonts w:ascii="Times New Roman" w:hAnsi="Times New Roman" w:cs="Times New Roman"/>
          <w:i/>
          <w:sz w:val="24"/>
          <w:szCs w:val="24"/>
        </w:rPr>
        <w:t>Dr. Seuss Enters., L.P. v. Penguin Books USA, Inc.</w:t>
      </w:r>
      <w:r w:rsidRPr="00E7725E">
        <w:rPr>
          <w:rFonts w:ascii="Times New Roman" w:hAnsi="Times New Roman" w:cs="Times New Roman"/>
          <w:sz w:val="24"/>
          <w:szCs w:val="24"/>
        </w:rPr>
        <w:t xml:space="preserve">, 109 F.3d 1394, 1399 (9th Cir. 1997). In appropriate circumstances, the court may enumerate additional factors. </w:t>
      </w:r>
      <w:r w:rsidRPr="00E7725E">
        <w:rPr>
          <w:rFonts w:ascii="Times New Roman" w:hAnsi="Times New Roman" w:cs="Times New Roman"/>
          <w:i/>
          <w:sz w:val="24"/>
          <w:szCs w:val="24"/>
        </w:rPr>
        <w:t>See Campbell</w:t>
      </w:r>
      <w:r w:rsidRPr="00E7725E">
        <w:rPr>
          <w:rFonts w:ascii="Times New Roman" w:hAnsi="Times New Roman" w:cs="Times New Roman"/>
          <w:sz w:val="24"/>
          <w:szCs w:val="24"/>
        </w:rPr>
        <w:t>, 510 U.S. at 585 n.18 (considering defendant’s state of mind/good faith as factor).</w:t>
      </w:r>
    </w:p>
    <w:p w14:paraId="157D9C84" w14:textId="77777777" w:rsidR="005A0735" w:rsidRPr="00E7725E" w:rsidRDefault="005A0735" w:rsidP="005A0735">
      <w:pPr>
        <w:spacing w:before="30" w:line="247" w:lineRule="auto"/>
        <w:ind w:left="100" w:right="227" w:firstLine="720"/>
        <w:rPr>
          <w:rFonts w:ascii="Times New Roman" w:hAnsi="Times New Roman" w:cs="Times New Roman"/>
          <w:sz w:val="24"/>
          <w:szCs w:val="24"/>
        </w:rPr>
      </w:pPr>
      <w:r w:rsidRPr="00E7725E">
        <w:rPr>
          <w:rFonts w:ascii="Times New Roman" w:hAnsi="Times New Roman" w:cs="Times New Roman"/>
          <w:sz w:val="24"/>
          <w:szCs w:val="24"/>
        </w:rPr>
        <w:t xml:space="preserve">For an analysis of the fair use factors, </w:t>
      </w:r>
      <w:r w:rsidRPr="00E7725E">
        <w:rPr>
          <w:rFonts w:ascii="Times New Roman" w:hAnsi="Times New Roman" w:cs="Times New Roman"/>
          <w:i/>
          <w:sz w:val="24"/>
          <w:szCs w:val="24"/>
        </w:rPr>
        <w:t>see Campbell v. Acuff-Rose Music, Inc</w:t>
      </w:r>
      <w:r w:rsidRPr="00E7725E">
        <w:rPr>
          <w:rFonts w:ascii="Times New Roman" w:hAnsi="Times New Roman" w:cs="Times New Roman"/>
          <w:sz w:val="24"/>
          <w:szCs w:val="24"/>
        </w:rPr>
        <w:t xml:space="preserve">., 510 U.S. 569, 578-94 (1994); </w:t>
      </w:r>
      <w:r w:rsidRPr="00E7725E">
        <w:rPr>
          <w:rFonts w:ascii="Times New Roman" w:hAnsi="Times New Roman" w:cs="Times New Roman"/>
          <w:i/>
          <w:sz w:val="24"/>
          <w:szCs w:val="24"/>
        </w:rPr>
        <w:t>Harper &amp; Row, Publishers, Inc. v. Nation Enterprises</w:t>
      </w:r>
      <w:r w:rsidRPr="00E7725E">
        <w:rPr>
          <w:rFonts w:ascii="Times New Roman" w:hAnsi="Times New Roman" w:cs="Times New Roman"/>
          <w:sz w:val="24"/>
          <w:szCs w:val="24"/>
        </w:rPr>
        <w:t xml:space="preserve">, 471 U.S. 539, </w:t>
      </w:r>
      <w:r w:rsidRPr="00E7725E">
        <w:rPr>
          <w:rFonts w:ascii="Times New Roman" w:hAnsi="Times New Roman" w:cs="Times New Roman"/>
          <w:spacing w:val="-3"/>
          <w:sz w:val="24"/>
          <w:szCs w:val="24"/>
        </w:rPr>
        <w:t xml:space="preserve">560-69 </w:t>
      </w:r>
      <w:r w:rsidRPr="00E7725E">
        <w:rPr>
          <w:rFonts w:ascii="Times New Roman" w:hAnsi="Times New Roman" w:cs="Times New Roman"/>
          <w:sz w:val="24"/>
          <w:szCs w:val="24"/>
        </w:rPr>
        <w:t xml:space="preserve">(1985); </w:t>
      </w:r>
      <w:r w:rsidRPr="00E7725E">
        <w:rPr>
          <w:rFonts w:ascii="Times New Roman" w:hAnsi="Times New Roman" w:cs="Times New Roman"/>
          <w:i/>
          <w:sz w:val="24"/>
          <w:szCs w:val="24"/>
        </w:rPr>
        <w:t>Tresóna Multimedia, LLC v. Burbank High School Music Ass’n</w:t>
      </w:r>
      <w:r w:rsidRPr="00E7725E">
        <w:rPr>
          <w:rFonts w:ascii="Times New Roman" w:hAnsi="Times New Roman" w:cs="Times New Roman"/>
          <w:sz w:val="24"/>
          <w:szCs w:val="24"/>
        </w:rPr>
        <w:t xml:space="preserve">, 953 F.3d 638, 647-52 (9th Cir. 2020). The instruction provided here is a basic instruction that could be supplemented by the court to suggest how the presence or absence of any particular factor may tend to support or detract from a finding of fair use. Similarly, the court may find it appropriate to supplement this instruction to suggest to the jury how to weigh the factors.  </w:t>
      </w:r>
      <w:r w:rsidRPr="00E7725E">
        <w:rPr>
          <w:rFonts w:ascii="Times New Roman" w:hAnsi="Times New Roman" w:cs="Times New Roman"/>
          <w:i/>
          <w:sz w:val="24"/>
          <w:szCs w:val="24"/>
        </w:rPr>
        <w:t>See Dr. Seuss Enters.</w:t>
      </w:r>
      <w:r w:rsidRPr="00E7725E">
        <w:rPr>
          <w:rFonts w:ascii="Times New Roman" w:hAnsi="Times New Roman" w:cs="Times New Roman"/>
          <w:sz w:val="24"/>
          <w:szCs w:val="24"/>
        </w:rPr>
        <w:t>, 109 F.3d at 1399 (“Congress viewed these four criteria as guidelines for ‘balancing the equities,’ not as ‘definitive or determinative’ tests.” (citation omitted)).</w:t>
      </w:r>
    </w:p>
    <w:p w14:paraId="0EEA220A" w14:textId="77777777" w:rsidR="005A0735" w:rsidRPr="00E7725E" w:rsidRDefault="005A0735" w:rsidP="005A0735">
      <w:pPr>
        <w:pStyle w:val="BodyText"/>
        <w:spacing w:before="10"/>
      </w:pPr>
    </w:p>
    <w:p w14:paraId="472881F2" w14:textId="77777777" w:rsidR="005A0735" w:rsidRPr="00E7725E" w:rsidRDefault="005A0735" w:rsidP="005A0735">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780DF01C" w14:textId="77777777" w:rsidR="005A0735" w:rsidRPr="00E7725E" w:rsidRDefault="005A0735" w:rsidP="005A0735">
      <w:pPr>
        <w:pStyle w:val="BodyText"/>
        <w:spacing w:before="8"/>
      </w:pPr>
    </w:p>
    <w:p w14:paraId="49C16226" w14:textId="77777777" w:rsidR="005A0735" w:rsidRPr="00E7725E" w:rsidRDefault="005A0735" w:rsidP="005A0735">
      <w:pPr>
        <w:pStyle w:val="ListParagraph"/>
        <w:widowControl w:val="0"/>
        <w:numPr>
          <w:ilvl w:val="0"/>
          <w:numId w:val="1"/>
        </w:numPr>
        <w:tabs>
          <w:tab w:val="left" w:pos="400"/>
        </w:tabs>
        <w:autoSpaceDE w:val="0"/>
        <w:autoSpaceDN w:val="0"/>
        <w:spacing w:after="0" w:line="247" w:lineRule="auto"/>
        <w:ind w:right="144" w:firstLine="0"/>
        <w:contextualSpacing w:val="0"/>
        <w:rPr>
          <w:rFonts w:ascii="Times New Roman" w:hAnsi="Times New Roman" w:cs="Times New Roman"/>
          <w:sz w:val="24"/>
          <w:szCs w:val="24"/>
        </w:rPr>
      </w:pPr>
      <w:r w:rsidRPr="00E7725E">
        <w:rPr>
          <w:rFonts w:ascii="Times New Roman" w:hAnsi="Times New Roman" w:cs="Times New Roman"/>
          <w:b/>
          <w:sz w:val="24"/>
          <w:szCs w:val="24"/>
        </w:rPr>
        <w:t>Purpose and Character of the Defendant’s Use</w:t>
      </w:r>
      <w:r w:rsidRPr="00E7725E">
        <w:rPr>
          <w:rFonts w:ascii="Times New Roman" w:hAnsi="Times New Roman" w:cs="Times New Roman"/>
          <w:sz w:val="24"/>
          <w:szCs w:val="24"/>
        </w:rPr>
        <w:t xml:space="preserve">, including whether such use is of a commercial nature or is for nonprofit educational purposes: </w:t>
      </w:r>
      <w:r w:rsidRPr="00E7725E">
        <w:rPr>
          <w:rFonts w:ascii="Times New Roman" w:hAnsi="Times New Roman" w:cs="Times New Roman"/>
          <w:i/>
          <w:sz w:val="24"/>
          <w:szCs w:val="24"/>
        </w:rPr>
        <w:t>Campbell</w:t>
      </w:r>
      <w:r w:rsidRPr="00E7725E">
        <w:rPr>
          <w:rFonts w:ascii="Times New Roman" w:hAnsi="Times New Roman" w:cs="Times New Roman"/>
          <w:sz w:val="24"/>
          <w:szCs w:val="24"/>
        </w:rPr>
        <w:t xml:space="preserve">, 510 U.S. at 579-80, </w:t>
      </w:r>
      <w:r w:rsidRPr="00E7725E">
        <w:rPr>
          <w:rFonts w:ascii="Times New Roman" w:hAnsi="Times New Roman" w:cs="Times New Roman"/>
          <w:spacing w:val="-5"/>
          <w:sz w:val="24"/>
          <w:szCs w:val="24"/>
        </w:rPr>
        <w:t xml:space="preserve">583, </w:t>
      </w:r>
      <w:r w:rsidRPr="00E7725E">
        <w:rPr>
          <w:rFonts w:ascii="Times New Roman" w:hAnsi="Times New Roman" w:cs="Times New Roman"/>
          <w:sz w:val="24"/>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ascii="Times New Roman" w:hAnsi="Times New Roman" w:cs="Times New Roman"/>
          <w:i/>
          <w:sz w:val="24"/>
          <w:szCs w:val="24"/>
        </w:rPr>
        <w:t>VHT,</w:t>
      </w:r>
      <w:r w:rsidRPr="00E7725E">
        <w:rPr>
          <w:rFonts w:ascii="Times New Roman" w:hAnsi="Times New Roman" w:cs="Times New Roman"/>
          <w:i/>
          <w:spacing w:val="-20"/>
          <w:sz w:val="24"/>
          <w:szCs w:val="24"/>
        </w:rPr>
        <w:t xml:space="preserve"> </w:t>
      </w:r>
      <w:r w:rsidRPr="00E7725E">
        <w:rPr>
          <w:rFonts w:ascii="Times New Roman" w:hAnsi="Times New Roman" w:cs="Times New Roman"/>
          <w:i/>
          <w:spacing w:val="-3"/>
          <w:sz w:val="24"/>
          <w:szCs w:val="24"/>
        </w:rPr>
        <w:t xml:space="preserve">Inc. </w:t>
      </w:r>
      <w:r w:rsidRPr="00E7725E">
        <w:rPr>
          <w:rFonts w:ascii="Times New Roman" w:hAnsi="Times New Roman" w:cs="Times New Roman"/>
          <w:i/>
          <w:sz w:val="24"/>
          <w:szCs w:val="24"/>
        </w:rPr>
        <w:t>v. Zillow Grp., Inc</w:t>
      </w:r>
      <w:r w:rsidRPr="00E7725E">
        <w:rPr>
          <w:rFonts w:ascii="Times New Roman" w:hAnsi="Times New Roman" w:cs="Times New Roman"/>
          <w:sz w:val="24"/>
          <w:szCs w:val="24"/>
        </w:rPr>
        <w:t xml:space="preserve">., 918 F.3d 723, 743 (9th Cir. 2019) (concluding website’s tagging of photos for searchable functionality was not transformative); </w:t>
      </w:r>
      <w:r w:rsidRPr="00E7725E">
        <w:rPr>
          <w:rFonts w:ascii="Times New Roman" w:hAnsi="Times New Roman" w:cs="Times New Roman"/>
          <w:i/>
          <w:sz w:val="24"/>
          <w:szCs w:val="24"/>
        </w:rPr>
        <w:t>Seltzer</w:t>
      </w:r>
      <w:r w:rsidRPr="00E7725E">
        <w:rPr>
          <w:rFonts w:ascii="Times New Roman" w:hAnsi="Times New Roman" w:cs="Times New Roman"/>
          <w:sz w:val="24"/>
          <w:szCs w:val="24"/>
        </w:rPr>
        <w:t>, 725 F.3d at 1176-77 (finding</w:t>
      </w:r>
      <w:r w:rsidRPr="00E7725E">
        <w:rPr>
          <w:rFonts w:ascii="Times New Roman" w:hAnsi="Times New Roman" w:cs="Times New Roman"/>
          <w:spacing w:val="-24"/>
          <w:sz w:val="24"/>
          <w:szCs w:val="24"/>
        </w:rPr>
        <w:t xml:space="preserve"> </w:t>
      </w:r>
      <w:r w:rsidRPr="00E7725E">
        <w:rPr>
          <w:rFonts w:ascii="Times New Roman" w:hAnsi="Times New Roman" w:cs="Times New Roman"/>
          <w:spacing w:val="-3"/>
          <w:sz w:val="24"/>
          <w:szCs w:val="24"/>
        </w:rPr>
        <w:t xml:space="preserve">band’s </w:t>
      </w:r>
      <w:r w:rsidRPr="00E7725E">
        <w:rPr>
          <w:rFonts w:ascii="Times New Roman" w:hAnsi="Times New Roman" w:cs="Times New Roman"/>
          <w:sz w:val="24"/>
          <w:szCs w:val="24"/>
        </w:rPr>
        <w:t xml:space="preserve">use of artist’s original work in its four-minute concert video backdrop transformative because original work took on new and different meaning in video); </w:t>
      </w:r>
      <w:r w:rsidRPr="00E7725E">
        <w:rPr>
          <w:rFonts w:ascii="Times New Roman" w:hAnsi="Times New Roman" w:cs="Times New Roman"/>
          <w:i/>
          <w:sz w:val="24"/>
          <w:szCs w:val="24"/>
        </w:rPr>
        <w:t>Tresóna Multimedia, LLC v. Burbank High School Music Ass’n</w:t>
      </w:r>
      <w:r w:rsidRPr="00E7725E">
        <w:rPr>
          <w:rFonts w:ascii="Times New Roman" w:hAnsi="Times New Roman" w:cs="Times New Roman"/>
          <w:sz w:val="24"/>
          <w:szCs w:val="24"/>
        </w:rPr>
        <w:t xml:space="preserve">, 953 F.3d at 648 (observing that use of song in show was for “nonprofit educational purposes and the resulting work was transformative”); </w:t>
      </w:r>
      <w:r w:rsidRPr="00E7725E">
        <w:rPr>
          <w:rFonts w:ascii="Times New Roman" w:hAnsi="Times New Roman" w:cs="Times New Roman"/>
          <w:i/>
          <w:sz w:val="24"/>
          <w:szCs w:val="24"/>
        </w:rPr>
        <w:t>Disney Enterprises, Inc. v. VidAngel, Inc.</w:t>
      </w:r>
      <w:r w:rsidRPr="00E7725E">
        <w:rPr>
          <w:rFonts w:ascii="Times New Roman" w:hAnsi="Times New Roman" w:cs="Times New Roman"/>
          <w:sz w:val="24"/>
          <w:szCs w:val="24"/>
        </w:rPr>
        <w:t xml:space="preserve">, 869 F.3d 848 (9th Cir. 2017) (concluding that removing objectionable content from film for streaming to customers is not transformative); </w:t>
      </w:r>
      <w:r w:rsidRPr="00E7725E">
        <w:rPr>
          <w:rFonts w:ascii="Times New Roman" w:hAnsi="Times New Roman" w:cs="Times New Roman"/>
          <w:i/>
          <w:sz w:val="24"/>
          <w:szCs w:val="24"/>
        </w:rPr>
        <w:t>SOFA Entm’t, Inc. v. Dodger Prods., Inc.</w:t>
      </w:r>
      <w:r w:rsidRPr="00E7725E">
        <w:rPr>
          <w:rFonts w:ascii="Times New Roman" w:hAnsi="Times New Roman" w:cs="Times New Roman"/>
          <w:sz w:val="24"/>
          <w:szCs w:val="24"/>
        </w:rPr>
        <w:t xml:space="preserve">, 709 F.3d 1273, 1278 (9th Cir. 2013) (stating that use of seven- second television clip that introduces band as “biographical </w:t>
      </w:r>
      <w:r w:rsidRPr="00E7725E">
        <w:rPr>
          <w:rFonts w:ascii="Times New Roman" w:hAnsi="Times New Roman" w:cs="Times New Roman"/>
          <w:sz w:val="24"/>
          <w:szCs w:val="24"/>
        </w:rPr>
        <w:lastRenderedPageBreak/>
        <w:t xml:space="preserve">anchor” in musical about band supports finding of fair use); </w:t>
      </w:r>
      <w:r w:rsidRPr="00E7725E">
        <w:rPr>
          <w:rFonts w:ascii="Times New Roman" w:hAnsi="Times New Roman" w:cs="Times New Roman"/>
          <w:i/>
          <w:sz w:val="24"/>
          <w:szCs w:val="24"/>
        </w:rPr>
        <w:t>Monge v. Maya Magazines, Inc.</w:t>
      </w:r>
      <w:r w:rsidRPr="00E7725E">
        <w:rPr>
          <w:rFonts w:ascii="Times New Roman" w:hAnsi="Times New Roman" w:cs="Times New Roman"/>
          <w:sz w:val="24"/>
          <w:szCs w:val="24"/>
        </w:rPr>
        <w:t>, 688 F.3d 1164, 1176-77 (9th Cir. 2012) (concluding that publisher’s use of newsworthy wedding photographs of celebrities was not fair use because such use was, among other things, minimally transformative</w:t>
      </w:r>
      <w:r w:rsidRPr="00E7725E">
        <w:rPr>
          <w:rFonts w:ascii="Times New Roman" w:hAnsi="Times New Roman" w:cs="Times New Roman"/>
          <w:spacing w:val="-20"/>
          <w:sz w:val="24"/>
          <w:szCs w:val="24"/>
        </w:rPr>
        <w:t xml:space="preserve"> </w:t>
      </w:r>
      <w:r w:rsidRPr="00E7725E">
        <w:rPr>
          <w:rFonts w:ascii="Times New Roman" w:hAnsi="Times New Roman" w:cs="Times New Roman"/>
          <w:sz w:val="24"/>
          <w:szCs w:val="24"/>
        </w:rPr>
        <w:t xml:space="preserve">and indisputably commercial); </w:t>
      </w:r>
      <w:r w:rsidRPr="00E7725E">
        <w:rPr>
          <w:rFonts w:ascii="Times New Roman" w:hAnsi="Times New Roman" w:cs="Times New Roman"/>
          <w:i/>
          <w:sz w:val="24"/>
          <w:szCs w:val="24"/>
        </w:rPr>
        <w:t>Elvis Presley Enters.</w:t>
      </w:r>
      <w:r w:rsidRPr="00E7725E">
        <w:rPr>
          <w:rFonts w:ascii="Times New Roman" w:hAnsi="Times New Roman" w:cs="Times New Roman"/>
          <w:sz w:val="24"/>
          <w:szCs w:val="24"/>
        </w:rPr>
        <w:t xml:space="preserve">, 349 F.3d at 629 (“Courts have described new works as ‘transformative’ when works use copyrighted material for purposes distinct from the purpose of original material.”); </w:t>
      </w:r>
      <w:r w:rsidRPr="00E7725E">
        <w:rPr>
          <w:rFonts w:ascii="Times New Roman" w:hAnsi="Times New Roman" w:cs="Times New Roman"/>
          <w:i/>
          <w:spacing w:val="-4"/>
          <w:sz w:val="24"/>
          <w:szCs w:val="24"/>
        </w:rPr>
        <w:t xml:space="preserve">A&amp;M </w:t>
      </w:r>
      <w:r w:rsidRPr="00E7725E">
        <w:rPr>
          <w:rFonts w:ascii="Times New Roman" w:hAnsi="Times New Roman" w:cs="Times New Roman"/>
          <w:i/>
          <w:sz w:val="24"/>
          <w:szCs w:val="24"/>
        </w:rPr>
        <w:t>Records, Inc. v. Napster, Inc.</w:t>
      </w:r>
      <w:r w:rsidRPr="00E7725E">
        <w:rPr>
          <w:rFonts w:ascii="Times New Roman" w:hAnsi="Times New Roman" w:cs="Times New Roman"/>
          <w:sz w:val="24"/>
          <w:szCs w:val="24"/>
        </w:rPr>
        <w:t xml:space="preserve">, 239 F.3d 1004, 1015 (9th Cir. 2001) (stating that commercial use does not require direct financial benefit and that “commercial use weighs against a finding of fair use but is not conclusive”); </w:t>
      </w:r>
      <w:r w:rsidRPr="00E7725E">
        <w:rPr>
          <w:rFonts w:ascii="Times New Roman" w:hAnsi="Times New Roman" w:cs="Times New Roman"/>
          <w:i/>
          <w:sz w:val="24"/>
          <w:szCs w:val="24"/>
        </w:rPr>
        <w:t>Sony Computer Entm’t, Inc. v. Connectix Corp.</w:t>
      </w:r>
      <w:r w:rsidRPr="00E7725E">
        <w:rPr>
          <w:rFonts w:ascii="Times New Roman" w:hAnsi="Times New Roman" w:cs="Times New Roman"/>
          <w:sz w:val="24"/>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ascii="Times New Roman" w:hAnsi="Times New Roman" w:cs="Times New Roman"/>
          <w:i/>
          <w:sz w:val="24"/>
          <w:szCs w:val="24"/>
        </w:rPr>
        <w:t>L.A. News Serv. v. KCAL-TV Channel 9</w:t>
      </w:r>
      <w:r w:rsidRPr="00E7725E">
        <w:rPr>
          <w:rFonts w:ascii="Times New Roman" w:hAnsi="Times New Roman" w:cs="Times New Roman"/>
          <w:sz w:val="24"/>
          <w:szCs w:val="24"/>
        </w:rPr>
        <w:t xml:space="preserve">, 108 F.3d 1119, 1121 (9th Cir. 1997) (examining whether unauthorized use of news report by defendant news station competed with infringed work); </w:t>
      </w:r>
      <w:r w:rsidRPr="00E7725E">
        <w:rPr>
          <w:rFonts w:ascii="Times New Roman" w:hAnsi="Times New Roman" w:cs="Times New Roman"/>
          <w:i/>
          <w:iCs/>
          <w:sz w:val="24"/>
          <w:szCs w:val="24"/>
        </w:rPr>
        <w:t>Dr. Seuss Entprs., L.P. v. ComicMix LLC</w:t>
      </w:r>
      <w:r w:rsidRPr="00E7725E">
        <w:rPr>
          <w:rFonts w:ascii="Times New Roman" w:hAnsi="Times New Roman" w:cs="Times New Roman"/>
          <w:sz w:val="24"/>
          <w:szCs w:val="24"/>
        </w:rPr>
        <w:t xml:space="preserve">, 983 F.3d 443, 452–53 (9th Cir. 2020) (holding that infringing use was not parody and thus not transformative because it did not critique or ridicule the original). Generally, “the more transformative </w:t>
      </w:r>
      <w:r w:rsidRPr="00E7725E">
        <w:rPr>
          <w:rFonts w:ascii="Times New Roman" w:hAnsi="Times New Roman" w:cs="Times New Roman"/>
          <w:spacing w:val="-6"/>
          <w:sz w:val="24"/>
          <w:szCs w:val="24"/>
        </w:rPr>
        <w:t xml:space="preserve">the </w:t>
      </w:r>
      <w:r w:rsidRPr="00E7725E">
        <w:rPr>
          <w:rFonts w:ascii="Times New Roman" w:hAnsi="Times New Roman" w:cs="Times New Roman"/>
          <w:sz w:val="24"/>
          <w:szCs w:val="24"/>
        </w:rPr>
        <w:t xml:space="preserve">new work, the less will be the significance of other factors, like commercialism, that may weigh against a finding of fair use.” </w:t>
      </w:r>
      <w:r w:rsidRPr="00E7725E">
        <w:rPr>
          <w:rFonts w:ascii="Times New Roman" w:hAnsi="Times New Roman" w:cs="Times New Roman"/>
          <w:i/>
          <w:sz w:val="24"/>
          <w:szCs w:val="24"/>
        </w:rPr>
        <w:t>Campbell</w:t>
      </w:r>
      <w:r w:rsidRPr="00E7725E">
        <w:rPr>
          <w:rFonts w:ascii="Times New Roman" w:hAnsi="Times New Roman" w:cs="Times New Roman"/>
          <w:sz w:val="24"/>
          <w:szCs w:val="24"/>
        </w:rPr>
        <w:t>, 510 U.S. at 579. “[P]arody has an obvious claim to transformative value.”</w:t>
      </w:r>
      <w:r w:rsidRPr="00E7725E">
        <w:rPr>
          <w:rFonts w:ascii="Times New Roman" w:hAnsi="Times New Roman" w:cs="Times New Roman"/>
          <w:spacing w:val="53"/>
          <w:sz w:val="24"/>
          <w:szCs w:val="24"/>
        </w:rPr>
        <w:t xml:space="preserve"> </w:t>
      </w:r>
      <w:r w:rsidRPr="00E7725E">
        <w:rPr>
          <w:rFonts w:ascii="Times New Roman" w:hAnsi="Times New Roman" w:cs="Times New Roman"/>
          <w:i/>
          <w:sz w:val="24"/>
          <w:szCs w:val="24"/>
        </w:rPr>
        <w:t>Id</w:t>
      </w:r>
      <w:r w:rsidRPr="00E7725E">
        <w:rPr>
          <w:rFonts w:ascii="Times New Roman" w:hAnsi="Times New Roman" w:cs="Times New Roman"/>
          <w:sz w:val="24"/>
          <w:szCs w:val="24"/>
        </w:rPr>
        <w:t>.</w:t>
      </w:r>
    </w:p>
    <w:p w14:paraId="1ADF2EF0" w14:textId="77777777" w:rsidR="005A0735" w:rsidRPr="00E7725E" w:rsidRDefault="005A0735" w:rsidP="005A0735">
      <w:pPr>
        <w:pStyle w:val="BodyText"/>
        <w:spacing w:before="10"/>
      </w:pPr>
    </w:p>
    <w:p w14:paraId="7F186C93" w14:textId="77777777" w:rsidR="005A0735" w:rsidRPr="00E7725E" w:rsidRDefault="005A0735" w:rsidP="005A0735">
      <w:pPr>
        <w:pStyle w:val="ListParagraph"/>
        <w:widowControl w:val="0"/>
        <w:numPr>
          <w:ilvl w:val="0"/>
          <w:numId w:val="1"/>
        </w:numPr>
        <w:tabs>
          <w:tab w:val="left" w:pos="400"/>
        </w:tabs>
        <w:autoSpaceDE w:val="0"/>
        <w:autoSpaceDN w:val="0"/>
        <w:spacing w:after="0" w:line="247" w:lineRule="auto"/>
        <w:ind w:right="119" w:firstLine="0"/>
        <w:contextualSpacing w:val="0"/>
        <w:rPr>
          <w:rFonts w:ascii="Times New Roman" w:hAnsi="Times New Roman" w:cs="Times New Roman"/>
          <w:sz w:val="24"/>
          <w:szCs w:val="24"/>
        </w:rPr>
      </w:pPr>
      <w:r w:rsidRPr="00E7725E">
        <w:rPr>
          <w:rFonts w:ascii="Times New Roman" w:hAnsi="Times New Roman" w:cs="Times New Roman"/>
          <w:b/>
          <w:sz w:val="24"/>
          <w:szCs w:val="24"/>
        </w:rPr>
        <w:t xml:space="preserve">Nature of Copyrighted Work: </w:t>
      </w:r>
      <w:r w:rsidRPr="00E7725E">
        <w:rPr>
          <w:rFonts w:ascii="Times New Roman" w:hAnsi="Times New Roman" w:cs="Times New Roman"/>
          <w:sz w:val="24"/>
          <w:szCs w:val="24"/>
        </w:rPr>
        <w:t xml:space="preserve">17 U.S.C. § 107 (“The fact that a work is unpublished shall not itself bar a finding of fair use.”); </w:t>
      </w:r>
      <w:r w:rsidRPr="00E7725E">
        <w:rPr>
          <w:rFonts w:ascii="Times New Roman" w:hAnsi="Times New Roman" w:cs="Times New Roman"/>
          <w:i/>
          <w:sz w:val="24"/>
          <w:szCs w:val="24"/>
        </w:rPr>
        <w:t>Campbell</w:t>
      </w:r>
      <w:r w:rsidRPr="00E7725E">
        <w:rPr>
          <w:rFonts w:ascii="Times New Roman" w:hAnsi="Times New Roman" w:cs="Times New Roman"/>
          <w:sz w:val="24"/>
          <w:szCs w:val="24"/>
        </w:rPr>
        <w:t xml:space="preserve">, 510 U.S. at 586 (considering whether work is factual or creative in nature and whether it was published); </w:t>
      </w:r>
      <w:r w:rsidRPr="00E7725E">
        <w:rPr>
          <w:rFonts w:ascii="Times New Roman" w:hAnsi="Times New Roman" w:cs="Times New Roman"/>
          <w:i/>
          <w:sz w:val="24"/>
          <w:szCs w:val="24"/>
        </w:rPr>
        <w:t>Seltzer</w:t>
      </w:r>
      <w:r w:rsidRPr="00E7725E">
        <w:rPr>
          <w:rFonts w:ascii="Times New Roman" w:hAnsi="Times New Roman" w:cs="Times New Roman"/>
          <w:sz w:val="24"/>
          <w:szCs w:val="24"/>
        </w:rPr>
        <w:t xml:space="preserve">, 725 F.3d at 1178 (noting that prior publication by original author tends to support finding of fair use); </w:t>
      </w:r>
      <w:r w:rsidRPr="00E7725E">
        <w:rPr>
          <w:rFonts w:ascii="Times New Roman" w:hAnsi="Times New Roman" w:cs="Times New Roman"/>
          <w:i/>
          <w:sz w:val="24"/>
          <w:szCs w:val="24"/>
        </w:rPr>
        <w:t>Napster</w:t>
      </w:r>
      <w:r w:rsidRPr="00E7725E">
        <w:rPr>
          <w:rFonts w:ascii="Times New Roman" w:hAnsi="Times New Roman" w:cs="Times New Roman"/>
          <w:sz w:val="24"/>
          <w:szCs w:val="24"/>
        </w:rPr>
        <w:t xml:space="preserve">, 239 F.3d at 1016 (stating that use of copyrighted creative work cuts against fair use finding); </w:t>
      </w:r>
      <w:r w:rsidRPr="00E7725E">
        <w:rPr>
          <w:rFonts w:ascii="Times New Roman" w:hAnsi="Times New Roman" w:cs="Times New Roman"/>
          <w:i/>
          <w:sz w:val="24"/>
          <w:szCs w:val="24"/>
        </w:rPr>
        <w:t>Bleem</w:t>
      </w:r>
      <w:r w:rsidRPr="00E7725E">
        <w:rPr>
          <w:rFonts w:ascii="Times New Roman" w:hAnsi="Times New Roman" w:cs="Times New Roman"/>
          <w:sz w:val="24"/>
          <w:szCs w:val="24"/>
        </w:rPr>
        <w:t>, 214</w:t>
      </w:r>
      <w:r w:rsidRPr="00E7725E">
        <w:rPr>
          <w:rFonts w:ascii="Times New Roman" w:hAnsi="Times New Roman" w:cs="Times New Roman"/>
          <w:spacing w:val="-30"/>
          <w:sz w:val="24"/>
          <w:szCs w:val="24"/>
        </w:rPr>
        <w:t xml:space="preserve"> </w:t>
      </w:r>
      <w:r w:rsidRPr="00E7725E">
        <w:rPr>
          <w:rFonts w:ascii="Times New Roman" w:hAnsi="Times New Roman" w:cs="Times New Roman"/>
          <w:spacing w:val="-5"/>
          <w:sz w:val="24"/>
          <w:szCs w:val="24"/>
        </w:rPr>
        <w:t xml:space="preserve">F.3d </w:t>
      </w:r>
      <w:r w:rsidRPr="00E7725E">
        <w:rPr>
          <w:rFonts w:ascii="Times New Roman" w:hAnsi="Times New Roman" w:cs="Times New Roman"/>
          <w:sz w:val="24"/>
          <w:szCs w:val="24"/>
        </w:rPr>
        <w:t xml:space="preserve">at 1028 (explaining that nature of copyrighted work is most relevant when “the original material and the copy are of a different nature”); </w:t>
      </w:r>
      <w:r w:rsidRPr="00E7725E">
        <w:rPr>
          <w:rFonts w:ascii="Times New Roman" w:hAnsi="Times New Roman" w:cs="Times New Roman"/>
          <w:i/>
          <w:sz w:val="24"/>
          <w:szCs w:val="24"/>
        </w:rPr>
        <w:t>L.A. News Serv.</w:t>
      </w:r>
      <w:r w:rsidRPr="00E7725E">
        <w:rPr>
          <w:rFonts w:ascii="Times New Roman" w:hAnsi="Times New Roman" w:cs="Times New Roman"/>
          <w:sz w:val="24"/>
          <w:szCs w:val="24"/>
        </w:rPr>
        <w:t xml:space="preserve">, 108 F.3d at 1122 (reasoning that fair use finding is strongly favored when infringed work is informational, factual and news); </w:t>
      </w:r>
      <w:r w:rsidRPr="00E7725E">
        <w:rPr>
          <w:rFonts w:ascii="Times New Roman" w:hAnsi="Times New Roman" w:cs="Times New Roman"/>
          <w:i/>
          <w:sz w:val="24"/>
          <w:szCs w:val="24"/>
        </w:rPr>
        <w:t>Sega Enters. Ltd. v. Accolade, Inc</w:t>
      </w:r>
      <w:r w:rsidRPr="00E7725E">
        <w:rPr>
          <w:rFonts w:ascii="Times New Roman" w:hAnsi="Times New Roman" w:cs="Times New Roman"/>
          <w:sz w:val="24"/>
          <w:szCs w:val="24"/>
        </w:rPr>
        <w:t xml:space="preserve">., 977 F.2d 1510, 1524 (9th Cir. 1992) (examining fictitious or functional nature of work and “idea/expression distinction” with regard to utilitarian articles); </w:t>
      </w:r>
      <w:r w:rsidRPr="00E7725E">
        <w:rPr>
          <w:rFonts w:ascii="Times New Roman" w:hAnsi="Times New Roman" w:cs="Times New Roman"/>
          <w:i/>
          <w:sz w:val="24"/>
          <w:szCs w:val="24"/>
        </w:rPr>
        <w:t>Lewis Galoob Toys, Inc. v. Nintendo of Am., Inc.</w:t>
      </w:r>
      <w:r w:rsidRPr="00E7725E">
        <w:rPr>
          <w:rFonts w:ascii="Times New Roman" w:hAnsi="Times New Roman" w:cs="Times New Roman"/>
          <w:sz w:val="24"/>
          <w:szCs w:val="24"/>
        </w:rPr>
        <w:t>, 964 F.2d 965, 970 (9th Cir. 1992) (recognizing that audiovisual displays created by device that can alter features of copyrighted video game are not derivative in nature because “technology often advances by improvement rather than replacement”).</w:t>
      </w:r>
    </w:p>
    <w:p w14:paraId="670A36DD" w14:textId="77777777" w:rsidR="005A0735" w:rsidRPr="00E7725E" w:rsidRDefault="005A0735" w:rsidP="005A0735">
      <w:pPr>
        <w:pStyle w:val="BodyText"/>
        <w:spacing w:before="2"/>
      </w:pPr>
    </w:p>
    <w:p w14:paraId="0DE7B90B" w14:textId="77777777" w:rsidR="005A0735" w:rsidRPr="00E7725E" w:rsidRDefault="005A0735" w:rsidP="005A0735">
      <w:pPr>
        <w:pStyle w:val="ListParagraph"/>
        <w:widowControl w:val="0"/>
        <w:numPr>
          <w:ilvl w:val="0"/>
          <w:numId w:val="1"/>
        </w:numPr>
        <w:tabs>
          <w:tab w:val="left" w:pos="400"/>
        </w:tabs>
        <w:autoSpaceDE w:val="0"/>
        <w:autoSpaceDN w:val="0"/>
        <w:spacing w:after="0" w:line="247" w:lineRule="auto"/>
        <w:ind w:right="176" w:firstLine="0"/>
        <w:contextualSpacing w:val="0"/>
        <w:rPr>
          <w:rFonts w:ascii="Times New Roman" w:hAnsi="Times New Roman" w:cs="Times New Roman"/>
          <w:sz w:val="24"/>
          <w:szCs w:val="24"/>
        </w:rPr>
      </w:pPr>
      <w:r w:rsidRPr="00E7725E">
        <w:rPr>
          <w:rFonts w:ascii="Times New Roman" w:hAnsi="Times New Roman" w:cs="Times New Roman"/>
          <w:b/>
          <w:sz w:val="24"/>
          <w:szCs w:val="24"/>
        </w:rPr>
        <w:t xml:space="preserve">Amount and Substantiality of Portion of Infringed Work Used by Infringing Work in Relation to the Copyrighted Work as a Whole: </w:t>
      </w:r>
      <w:r w:rsidRPr="00E7725E">
        <w:rPr>
          <w:rFonts w:ascii="Times New Roman" w:hAnsi="Times New Roman" w:cs="Times New Roman"/>
          <w:i/>
          <w:sz w:val="24"/>
          <w:szCs w:val="24"/>
        </w:rPr>
        <w:t>Campbell</w:t>
      </w:r>
      <w:r w:rsidRPr="00E7725E">
        <w:rPr>
          <w:rFonts w:ascii="Times New Roman" w:hAnsi="Times New Roman" w:cs="Times New Roman"/>
          <w:sz w:val="24"/>
          <w:szCs w:val="24"/>
        </w:rPr>
        <w:t xml:space="preserve">, 510 U.S. at 586-88 (explaining importance of quantity of materials used, as well as their quality and importance); </w:t>
      </w:r>
      <w:r w:rsidRPr="00E7725E">
        <w:rPr>
          <w:rFonts w:ascii="Times New Roman" w:hAnsi="Times New Roman" w:cs="Times New Roman"/>
          <w:i/>
          <w:sz w:val="24"/>
          <w:szCs w:val="24"/>
        </w:rPr>
        <w:t>Seltzer</w:t>
      </w:r>
      <w:r w:rsidRPr="00E7725E">
        <w:rPr>
          <w:rFonts w:ascii="Times New Roman" w:hAnsi="Times New Roman" w:cs="Times New Roman"/>
          <w:sz w:val="24"/>
          <w:szCs w:val="24"/>
        </w:rPr>
        <w:t xml:space="preserve">, 725 F.3d at 1178-79 (addressing when original works are copied in full because they are “not meaningfully divisible”); </w:t>
      </w:r>
      <w:r w:rsidRPr="00E7725E">
        <w:rPr>
          <w:rFonts w:ascii="Times New Roman" w:hAnsi="Times New Roman" w:cs="Times New Roman"/>
          <w:i/>
          <w:sz w:val="24"/>
          <w:szCs w:val="24"/>
        </w:rPr>
        <w:t>Bleem</w:t>
      </w:r>
      <w:r w:rsidRPr="00E7725E">
        <w:rPr>
          <w:rFonts w:ascii="Times New Roman" w:hAnsi="Times New Roman" w:cs="Times New Roman"/>
          <w:sz w:val="24"/>
          <w:szCs w:val="24"/>
        </w:rPr>
        <w:t xml:space="preserve">, 214 F.3d at 1028 (noting that fair use finding is not likely when there is high degree of copying and “essence” of copyrighted work and copy are similar); </w:t>
      </w:r>
      <w:r w:rsidRPr="00E7725E">
        <w:rPr>
          <w:rFonts w:ascii="Times New Roman" w:hAnsi="Times New Roman" w:cs="Times New Roman"/>
          <w:i/>
          <w:sz w:val="24"/>
          <w:szCs w:val="24"/>
        </w:rPr>
        <w:t>Connectix Corp.</w:t>
      </w:r>
      <w:r w:rsidRPr="00E7725E">
        <w:rPr>
          <w:rFonts w:ascii="Times New Roman" w:hAnsi="Times New Roman" w:cs="Times New Roman"/>
          <w:sz w:val="24"/>
          <w:szCs w:val="24"/>
        </w:rPr>
        <w:t xml:space="preserve">, 203 F.3d at 606-07 (considering whether use occurs in reverse engineering of copyrighted work to gain access to unprotected functional elements of software); </w:t>
      </w:r>
      <w:r w:rsidRPr="00E7725E">
        <w:rPr>
          <w:rFonts w:ascii="Times New Roman" w:hAnsi="Times New Roman" w:cs="Times New Roman"/>
          <w:i/>
          <w:sz w:val="24"/>
          <w:szCs w:val="24"/>
        </w:rPr>
        <w:t>Dr. Seuss Enters.</w:t>
      </w:r>
      <w:r w:rsidRPr="00E7725E">
        <w:rPr>
          <w:rFonts w:ascii="Times New Roman" w:hAnsi="Times New Roman" w:cs="Times New Roman"/>
          <w:sz w:val="24"/>
          <w:szCs w:val="24"/>
        </w:rPr>
        <w:t>, 109 F.3d at 1402 (expressing that focus of this factor is question of substantial</w:t>
      </w:r>
      <w:r w:rsidRPr="00E7725E">
        <w:rPr>
          <w:rFonts w:ascii="Times New Roman" w:hAnsi="Times New Roman" w:cs="Times New Roman"/>
          <w:spacing w:val="-22"/>
          <w:sz w:val="24"/>
          <w:szCs w:val="24"/>
        </w:rPr>
        <w:t xml:space="preserve"> </w:t>
      </w:r>
      <w:r w:rsidRPr="00E7725E">
        <w:rPr>
          <w:rFonts w:ascii="Times New Roman" w:hAnsi="Times New Roman" w:cs="Times New Roman"/>
          <w:sz w:val="24"/>
          <w:szCs w:val="24"/>
        </w:rPr>
        <w:t xml:space="preserve">similarity and whether use was “reasonable in relation to the purpose of the </w:t>
      </w:r>
      <w:r w:rsidRPr="00E7725E">
        <w:rPr>
          <w:rFonts w:ascii="Times New Roman" w:hAnsi="Times New Roman" w:cs="Times New Roman"/>
          <w:spacing w:val="-4"/>
          <w:sz w:val="24"/>
          <w:szCs w:val="24"/>
        </w:rPr>
        <w:lastRenderedPageBreak/>
        <w:t xml:space="preserve">copying” </w:t>
      </w:r>
      <w:r w:rsidRPr="00E7725E">
        <w:rPr>
          <w:rFonts w:ascii="Times New Roman" w:hAnsi="Times New Roman" w:cs="Times New Roman"/>
          <w:sz w:val="24"/>
          <w:szCs w:val="24"/>
        </w:rPr>
        <w:t xml:space="preserve">rather than whether use was fair); </w:t>
      </w:r>
      <w:r w:rsidRPr="00E7725E">
        <w:rPr>
          <w:rFonts w:ascii="Times New Roman" w:hAnsi="Times New Roman" w:cs="Times New Roman"/>
          <w:i/>
          <w:sz w:val="24"/>
          <w:szCs w:val="24"/>
        </w:rPr>
        <w:t>Tresóna</w:t>
      </w:r>
      <w:r w:rsidRPr="00E7725E">
        <w:rPr>
          <w:rFonts w:ascii="Times New Roman" w:hAnsi="Times New Roman" w:cs="Times New Roman"/>
          <w:sz w:val="24"/>
          <w:szCs w:val="24"/>
        </w:rPr>
        <w:t>, 953 F.3d at 651 (noting that although “qualitatively significant” portion of original work was used, because of transformative nature of new material, this factor “did not weigh against fair</w:t>
      </w:r>
      <w:r w:rsidRPr="00E7725E">
        <w:rPr>
          <w:rFonts w:ascii="Times New Roman" w:hAnsi="Times New Roman" w:cs="Times New Roman"/>
          <w:spacing w:val="-1"/>
          <w:sz w:val="24"/>
          <w:szCs w:val="24"/>
        </w:rPr>
        <w:t xml:space="preserve"> </w:t>
      </w:r>
      <w:r w:rsidRPr="00E7725E">
        <w:rPr>
          <w:rFonts w:ascii="Times New Roman" w:hAnsi="Times New Roman" w:cs="Times New Roman"/>
          <w:sz w:val="24"/>
          <w:szCs w:val="24"/>
        </w:rPr>
        <w:t>use”).</w:t>
      </w:r>
    </w:p>
    <w:p w14:paraId="0DB29F09" w14:textId="77777777" w:rsidR="005A0735" w:rsidRPr="00E7725E" w:rsidRDefault="005A0735" w:rsidP="005A0735">
      <w:pPr>
        <w:pStyle w:val="BodyText"/>
        <w:spacing w:before="9"/>
      </w:pPr>
    </w:p>
    <w:p w14:paraId="188BCD0D" w14:textId="43078AE0" w:rsidR="005A0735" w:rsidRPr="00E7725E" w:rsidRDefault="005A0735" w:rsidP="005A0735">
      <w:pPr>
        <w:pStyle w:val="ListParagraph"/>
        <w:widowControl w:val="0"/>
        <w:numPr>
          <w:ilvl w:val="0"/>
          <w:numId w:val="1"/>
        </w:numPr>
        <w:tabs>
          <w:tab w:val="left" w:pos="400"/>
        </w:tabs>
        <w:autoSpaceDE w:val="0"/>
        <w:autoSpaceDN w:val="0"/>
        <w:spacing w:before="30" w:after="0" w:line="247" w:lineRule="auto"/>
        <w:ind w:right="168" w:firstLine="0"/>
        <w:contextualSpacing w:val="0"/>
        <w:rPr>
          <w:rFonts w:ascii="Times New Roman" w:hAnsi="Times New Roman" w:cs="Times New Roman"/>
          <w:sz w:val="24"/>
          <w:szCs w:val="24"/>
        </w:rPr>
      </w:pPr>
      <w:r w:rsidRPr="00E7725E">
        <w:rPr>
          <w:rFonts w:ascii="Times New Roman" w:hAnsi="Times New Roman" w:cs="Times New Roman"/>
          <w:b/>
          <w:sz w:val="24"/>
          <w:szCs w:val="24"/>
        </w:rPr>
        <w:t xml:space="preserve">Effect of Use of Infringing Work on the Potential Market for or Value of the Copyrighted Work: </w:t>
      </w:r>
      <w:r w:rsidRPr="00E7725E">
        <w:rPr>
          <w:rFonts w:ascii="Times New Roman" w:hAnsi="Times New Roman" w:cs="Times New Roman"/>
          <w:i/>
          <w:sz w:val="24"/>
          <w:szCs w:val="24"/>
        </w:rPr>
        <w:t>Campbell</w:t>
      </w:r>
      <w:r w:rsidRPr="00E7725E">
        <w:rPr>
          <w:rFonts w:ascii="Times New Roman" w:hAnsi="Times New Roman" w:cs="Times New Roman"/>
          <w:sz w:val="24"/>
          <w:szCs w:val="24"/>
        </w:rPr>
        <w:t>, 510 U.S. at 590-91, n.21 (assessing harm use can cause</w:t>
      </w:r>
      <w:r w:rsidRPr="00E7725E">
        <w:rPr>
          <w:rFonts w:ascii="Times New Roman" w:hAnsi="Times New Roman" w:cs="Times New Roman"/>
          <w:spacing w:val="-6"/>
          <w:sz w:val="24"/>
          <w:szCs w:val="24"/>
        </w:rPr>
        <w:t xml:space="preserve"> </w:t>
      </w:r>
      <w:r w:rsidRPr="00E7725E">
        <w:rPr>
          <w:rFonts w:ascii="Times New Roman" w:hAnsi="Times New Roman" w:cs="Times New Roman"/>
          <w:spacing w:val="-8"/>
          <w:sz w:val="24"/>
          <w:szCs w:val="24"/>
        </w:rPr>
        <w:t xml:space="preserve">to </w:t>
      </w:r>
      <w:r w:rsidRPr="00E7725E">
        <w:rPr>
          <w:rFonts w:ascii="Times New Roman" w:hAnsi="Times New Roman" w:cs="Times New Roman"/>
          <w:sz w:val="24"/>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ascii="Times New Roman" w:hAnsi="Times New Roman" w:cs="Times New Roman"/>
          <w:i/>
          <w:sz w:val="24"/>
          <w:szCs w:val="24"/>
        </w:rPr>
        <w:t>Harper &amp; Row, Publishers</w:t>
      </w:r>
      <w:r w:rsidRPr="00E7725E">
        <w:rPr>
          <w:rFonts w:ascii="Times New Roman" w:hAnsi="Times New Roman" w:cs="Times New Roman"/>
          <w:sz w:val="24"/>
          <w:szCs w:val="24"/>
        </w:rPr>
        <w:t xml:space="preserve">, 471 U.S. at 566 (noting that effect of defendant’s infringing work on market for or value of plaintiff’s work is most important of fair use factors); </w:t>
      </w:r>
      <w:r w:rsidRPr="00E7725E">
        <w:rPr>
          <w:rFonts w:ascii="Times New Roman" w:hAnsi="Times New Roman" w:cs="Times New Roman"/>
          <w:i/>
          <w:sz w:val="24"/>
          <w:szCs w:val="24"/>
        </w:rPr>
        <w:t>SOFA Entm’t, Inc.</w:t>
      </w:r>
      <w:r w:rsidRPr="00E7725E">
        <w:rPr>
          <w:rFonts w:ascii="Times New Roman" w:hAnsi="Times New Roman" w:cs="Times New Roman"/>
          <w:sz w:val="24"/>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ascii="Times New Roman" w:hAnsi="Times New Roman" w:cs="Times New Roman"/>
          <w:i/>
          <w:sz w:val="24"/>
          <w:szCs w:val="24"/>
        </w:rPr>
        <w:t>Monge</w:t>
      </w:r>
      <w:r w:rsidRPr="00E7725E">
        <w:rPr>
          <w:rFonts w:ascii="Times New Roman" w:hAnsi="Times New Roman" w:cs="Times New Roman"/>
          <w:sz w:val="24"/>
          <w:szCs w:val="24"/>
        </w:rPr>
        <w:t xml:space="preserve">, 688 F.3d at 1181 (emphasizing that potential market exists independent of copyright owner’s present intent not to publish copyrighted work); </w:t>
      </w:r>
      <w:r w:rsidRPr="00E7725E">
        <w:rPr>
          <w:rFonts w:ascii="Times New Roman" w:hAnsi="Times New Roman" w:cs="Times New Roman"/>
          <w:i/>
          <w:sz w:val="24"/>
          <w:szCs w:val="24"/>
        </w:rPr>
        <w:t>Bleem</w:t>
      </w:r>
      <w:r w:rsidRPr="00E7725E">
        <w:rPr>
          <w:rFonts w:ascii="Times New Roman" w:hAnsi="Times New Roman" w:cs="Times New Roman"/>
          <w:sz w:val="24"/>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ascii="Times New Roman" w:hAnsi="Times New Roman" w:cs="Times New Roman"/>
          <w:i/>
          <w:sz w:val="24"/>
          <w:szCs w:val="24"/>
        </w:rPr>
        <w:t>Dr. Seuss Enters.</w:t>
      </w:r>
      <w:r w:rsidRPr="00E7725E">
        <w:rPr>
          <w:rFonts w:ascii="Times New Roman" w:hAnsi="Times New Roman" w:cs="Times New Roman"/>
          <w:sz w:val="24"/>
          <w:szCs w:val="24"/>
        </w:rPr>
        <w:t xml:space="preserve">, 109 F.3d at 1403 (balancing public benefit that will result from defendant’s use against personal gain copyright owner will receive if use is denied); </w:t>
      </w:r>
      <w:r w:rsidRPr="00E7725E">
        <w:rPr>
          <w:rFonts w:ascii="Times New Roman" w:hAnsi="Times New Roman" w:cs="Times New Roman"/>
          <w:i/>
          <w:sz w:val="24"/>
          <w:szCs w:val="24"/>
        </w:rPr>
        <w:t>Triad Sys. Corp.</w:t>
      </w:r>
      <w:r w:rsidRPr="00E7725E">
        <w:rPr>
          <w:rFonts w:ascii="Times New Roman" w:hAnsi="Times New Roman" w:cs="Times New Roman"/>
          <w:sz w:val="24"/>
          <w:szCs w:val="24"/>
        </w:rPr>
        <w:t xml:space="preserve">, 64 F.3d at 1336-37 (noting that when defendant’s work competes in same market it is less likely fair use); </w:t>
      </w:r>
      <w:r w:rsidRPr="00E7725E">
        <w:rPr>
          <w:rFonts w:ascii="Times New Roman" w:hAnsi="Times New Roman" w:cs="Times New Roman"/>
          <w:i/>
          <w:sz w:val="24"/>
          <w:szCs w:val="24"/>
        </w:rPr>
        <w:t>Tresóna</w:t>
      </w:r>
      <w:r w:rsidRPr="00E7725E">
        <w:rPr>
          <w:rFonts w:ascii="Times New Roman" w:hAnsi="Times New Roman" w:cs="Times New Roman"/>
          <w:sz w:val="24"/>
          <w:szCs w:val="24"/>
        </w:rPr>
        <w:t xml:space="preserve">, 953 F.3d at 651 (commenting that due to transformative nature of newly created work, consumer interested in original work would not substitute the newly created work); </w:t>
      </w:r>
      <w:r w:rsidRPr="00E7725E">
        <w:rPr>
          <w:rFonts w:ascii="Times New Roman" w:hAnsi="Times New Roman" w:cs="Times New Roman"/>
          <w:i/>
          <w:iCs/>
          <w:sz w:val="24"/>
          <w:szCs w:val="24"/>
        </w:rPr>
        <w:t>ComicMix LLC</w:t>
      </w:r>
      <w:r w:rsidRPr="00E7725E">
        <w:rPr>
          <w:rFonts w:ascii="Times New Roman" w:hAnsi="Times New Roman" w:cs="Times New Roman"/>
          <w:sz w:val="24"/>
          <w:szCs w:val="24"/>
        </w:rPr>
        <w:t>, 983 F.3d at 458–61 (explaining that market harm</w:t>
      </w:r>
      <w:r w:rsidR="00BB6293">
        <w:rPr>
          <w:rFonts w:ascii="Times New Roman" w:hAnsi="Times New Roman" w:cs="Times New Roman"/>
          <w:sz w:val="24"/>
          <w:szCs w:val="24"/>
        </w:rPr>
        <w:t xml:space="preserve"> to plaintiff is not presumed but</w:t>
      </w:r>
      <w:r w:rsidRPr="00E7725E">
        <w:rPr>
          <w:rFonts w:ascii="Times New Roman" w:hAnsi="Times New Roman" w:cs="Times New Roman"/>
          <w:sz w:val="24"/>
          <w:szCs w:val="24"/>
        </w:rPr>
        <w:t xml:space="preserve"> defendant bears burden of proof on this element).</w:t>
      </w:r>
    </w:p>
    <w:p w14:paraId="464628B7" w14:textId="77777777" w:rsidR="005A0735" w:rsidRPr="00E7725E" w:rsidRDefault="005A0735" w:rsidP="005A0735">
      <w:pPr>
        <w:pStyle w:val="BodyText"/>
        <w:spacing w:before="4"/>
      </w:pPr>
    </w:p>
    <w:p w14:paraId="0C94C8C7" w14:textId="77777777" w:rsidR="005A0735" w:rsidRPr="00E7725E" w:rsidRDefault="005A0735" w:rsidP="005A0735">
      <w:pPr>
        <w:pStyle w:val="ListParagraph"/>
        <w:widowControl w:val="0"/>
        <w:numPr>
          <w:ilvl w:val="0"/>
          <w:numId w:val="1"/>
        </w:numPr>
        <w:tabs>
          <w:tab w:val="left" w:pos="400"/>
        </w:tabs>
        <w:autoSpaceDE w:val="0"/>
        <w:autoSpaceDN w:val="0"/>
        <w:spacing w:before="1" w:after="0" w:line="247" w:lineRule="auto"/>
        <w:ind w:right="129" w:firstLine="0"/>
        <w:contextualSpacing w:val="0"/>
        <w:rPr>
          <w:rFonts w:ascii="Times New Roman" w:hAnsi="Times New Roman" w:cs="Times New Roman"/>
          <w:sz w:val="24"/>
          <w:szCs w:val="24"/>
        </w:rPr>
      </w:pPr>
      <w:r w:rsidRPr="00E7725E">
        <w:rPr>
          <w:rFonts w:ascii="Times New Roman" w:hAnsi="Times New Roman" w:cs="Times New Roman"/>
          <w:b/>
          <w:sz w:val="24"/>
          <w:szCs w:val="24"/>
        </w:rPr>
        <w:t xml:space="preserve">Additional Factors: </w:t>
      </w:r>
      <w:r w:rsidRPr="00E7725E">
        <w:rPr>
          <w:rFonts w:ascii="Times New Roman" w:hAnsi="Times New Roman" w:cs="Times New Roman"/>
          <w:i/>
          <w:sz w:val="24"/>
          <w:szCs w:val="24"/>
        </w:rPr>
        <w:t>Campbell</w:t>
      </w:r>
      <w:r w:rsidRPr="00E7725E">
        <w:rPr>
          <w:rFonts w:ascii="Times New Roman" w:hAnsi="Times New Roman" w:cs="Times New Roman"/>
          <w:sz w:val="24"/>
          <w:szCs w:val="24"/>
        </w:rPr>
        <w:t xml:space="preserve">, 510 U.S. at 585 n.18 (considering defendant’s state of </w:t>
      </w:r>
      <w:r w:rsidRPr="00E7725E">
        <w:rPr>
          <w:rFonts w:ascii="Times New Roman" w:hAnsi="Times New Roman" w:cs="Times New Roman"/>
          <w:spacing w:val="-4"/>
          <w:sz w:val="24"/>
          <w:szCs w:val="24"/>
        </w:rPr>
        <w:t xml:space="preserve">mind </w:t>
      </w:r>
      <w:r w:rsidRPr="00E7725E">
        <w:rPr>
          <w:rFonts w:ascii="Times New Roman" w:hAnsi="Times New Roman" w:cs="Times New Roman"/>
          <w:sz w:val="24"/>
          <w:szCs w:val="24"/>
        </w:rPr>
        <w:t xml:space="preserve">and explaining that permission is not necessary if use is fair); </w:t>
      </w:r>
      <w:r w:rsidRPr="00E7725E">
        <w:rPr>
          <w:rFonts w:ascii="Times New Roman" w:hAnsi="Times New Roman" w:cs="Times New Roman"/>
          <w:i/>
          <w:sz w:val="24"/>
          <w:szCs w:val="24"/>
        </w:rPr>
        <w:t>Harper &amp; Row, Publishers</w:t>
      </w:r>
      <w:r w:rsidRPr="00E7725E">
        <w:rPr>
          <w:rFonts w:ascii="Times New Roman" w:hAnsi="Times New Roman" w:cs="Times New Roman"/>
          <w:sz w:val="24"/>
          <w:szCs w:val="24"/>
        </w:rPr>
        <w:t>,</w:t>
      </w:r>
      <w:r w:rsidRPr="00E7725E">
        <w:rPr>
          <w:rFonts w:ascii="Times New Roman" w:hAnsi="Times New Roman" w:cs="Times New Roman"/>
          <w:spacing w:val="-28"/>
          <w:sz w:val="24"/>
          <w:szCs w:val="24"/>
        </w:rPr>
        <w:t xml:space="preserve"> </w:t>
      </w:r>
      <w:r w:rsidRPr="00E7725E">
        <w:rPr>
          <w:rFonts w:ascii="Times New Roman" w:hAnsi="Times New Roman" w:cs="Times New Roman"/>
          <w:sz w:val="24"/>
          <w:szCs w:val="24"/>
        </w:rPr>
        <w:t xml:space="preserve">471 U.S. at 562 (stating fair use presupposes good faith and fair dealing); </w:t>
      </w:r>
      <w:r w:rsidRPr="00E7725E">
        <w:rPr>
          <w:rFonts w:ascii="Times New Roman" w:hAnsi="Times New Roman" w:cs="Times New Roman"/>
          <w:i/>
          <w:sz w:val="24"/>
          <w:szCs w:val="24"/>
        </w:rPr>
        <w:t>Fisher v. Dees</w:t>
      </w:r>
      <w:r w:rsidRPr="00E7725E">
        <w:rPr>
          <w:rFonts w:ascii="Times New Roman" w:hAnsi="Times New Roman" w:cs="Times New Roman"/>
          <w:sz w:val="24"/>
          <w:szCs w:val="24"/>
        </w:rPr>
        <w:t>, 794 F.2d 432, 437 (9th Cir. 1986) (“courts may weigh ‘the propriety of the defendant’s conduct’ in the equitable balance of a fair use determination” (citation omitted)).</w:t>
      </w:r>
    </w:p>
    <w:p w14:paraId="42E73B08" w14:textId="77777777" w:rsidR="005A0735" w:rsidRPr="00E7725E" w:rsidRDefault="005A0735" w:rsidP="005A0735">
      <w:pPr>
        <w:pStyle w:val="BodyText"/>
        <w:spacing w:before="1"/>
      </w:pPr>
    </w:p>
    <w:p w14:paraId="3BD07959" w14:textId="77777777" w:rsidR="005A0735" w:rsidRPr="00E7725E" w:rsidRDefault="005A0735" w:rsidP="005A0735">
      <w:pPr>
        <w:pStyle w:val="BodyText"/>
        <w:spacing w:line="247" w:lineRule="auto"/>
        <w:ind w:left="100" w:right="129" w:firstLine="720"/>
      </w:pPr>
      <w:r w:rsidRPr="00E7725E">
        <w:t xml:space="preserve">The Ninth Circuit has considered a number of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47CC2432" w14:textId="77777777" w:rsidR="005A0735" w:rsidRPr="00E7725E" w:rsidRDefault="005A0735" w:rsidP="005A0735">
      <w:pPr>
        <w:pStyle w:val="BodyText"/>
        <w:spacing w:before="4"/>
      </w:pPr>
    </w:p>
    <w:p w14:paraId="78F69FE1" w14:textId="6639B7E8" w:rsidR="00C35252" w:rsidRPr="00E7725E" w:rsidRDefault="005A0735" w:rsidP="005A0735">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1049A944" w14:textId="15C6CEE6" w:rsidR="005A0735" w:rsidRPr="00E7725E" w:rsidRDefault="00333859" w:rsidP="005A0735">
      <w:pPr>
        <w:jc w:val="right"/>
        <w:rPr>
          <w:rFonts w:ascii="Times New Roman" w:hAnsi="Times New Roman" w:cs="Times New Roman"/>
          <w:i/>
          <w:iCs/>
          <w:sz w:val="24"/>
          <w:szCs w:val="24"/>
        </w:rPr>
      </w:pPr>
      <w:r>
        <w:rPr>
          <w:rFonts w:ascii="Times New Roman" w:hAnsi="Times New Roman" w:cs="Times New Roman"/>
          <w:i/>
          <w:iCs/>
          <w:sz w:val="24"/>
          <w:szCs w:val="24"/>
        </w:rPr>
        <w:t>Revised</w:t>
      </w:r>
      <w:r w:rsidR="005A0735" w:rsidRPr="00E7725E">
        <w:rPr>
          <w:rFonts w:ascii="Times New Roman" w:hAnsi="Times New Roman" w:cs="Times New Roman"/>
          <w:i/>
          <w:iCs/>
          <w:sz w:val="24"/>
          <w:szCs w:val="24"/>
        </w:rPr>
        <w:t xml:space="preserve"> Mar. 2021</w:t>
      </w:r>
    </w:p>
    <w:sectPr w:rsidR="005A0735" w:rsidRPr="00E77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1601"/>
    <w:multiLevelType w:val="multilevel"/>
    <w:tmpl w:val="C2C4817E"/>
    <w:lvl w:ilvl="0">
      <w:start w:val="17"/>
      <w:numFmt w:val="decimal"/>
      <w:lvlText w:val="%1"/>
      <w:lvlJc w:val="left"/>
      <w:pPr>
        <w:ind w:left="882" w:hanging="540"/>
      </w:pPr>
      <w:rPr>
        <w:rFonts w:hint="default"/>
      </w:rPr>
    </w:lvl>
    <w:lvl w:ilvl="1">
      <w:start w:val="22"/>
      <w:numFmt w:val="decimal"/>
      <w:lvlText w:val="%1.%2"/>
      <w:lvlJc w:val="left"/>
      <w:pPr>
        <w:ind w:left="2160" w:hanging="792"/>
      </w:pPr>
      <w:rPr>
        <w:rFonts w:ascii="Times New Roman" w:eastAsia="Times New Roman" w:hAnsi="Times New Roman" w:cs="Times New Roman" w:hint="default"/>
        <w:b/>
        <w:bCs/>
        <w:spacing w:val="-2"/>
        <w:w w:val="100"/>
        <w:sz w:val="22"/>
        <w:szCs w:val="22"/>
      </w:rPr>
    </w:lvl>
    <w:lvl w:ilvl="2">
      <w:numFmt w:val="bullet"/>
      <w:lvlText w:val="•"/>
      <w:lvlJc w:val="left"/>
      <w:pPr>
        <w:ind w:left="2620" w:hanging="540"/>
      </w:pPr>
      <w:rPr>
        <w:rFonts w:hint="default"/>
      </w:rPr>
    </w:lvl>
    <w:lvl w:ilvl="3">
      <w:numFmt w:val="bullet"/>
      <w:lvlText w:val="•"/>
      <w:lvlJc w:val="left"/>
      <w:pPr>
        <w:ind w:left="3490" w:hanging="540"/>
      </w:pPr>
      <w:rPr>
        <w:rFonts w:hint="default"/>
      </w:rPr>
    </w:lvl>
    <w:lvl w:ilvl="4">
      <w:numFmt w:val="bullet"/>
      <w:lvlText w:val="•"/>
      <w:lvlJc w:val="left"/>
      <w:pPr>
        <w:ind w:left="4360" w:hanging="540"/>
      </w:pPr>
      <w:rPr>
        <w:rFonts w:hint="default"/>
      </w:rPr>
    </w:lvl>
    <w:lvl w:ilvl="5">
      <w:numFmt w:val="bullet"/>
      <w:lvlText w:val="•"/>
      <w:lvlJc w:val="left"/>
      <w:pPr>
        <w:ind w:left="5230" w:hanging="540"/>
      </w:pPr>
      <w:rPr>
        <w:rFonts w:hint="default"/>
      </w:rPr>
    </w:lvl>
    <w:lvl w:ilvl="6">
      <w:numFmt w:val="bullet"/>
      <w:lvlText w:val="•"/>
      <w:lvlJc w:val="left"/>
      <w:pPr>
        <w:ind w:left="6100" w:hanging="540"/>
      </w:pPr>
      <w:rPr>
        <w:rFonts w:hint="default"/>
      </w:rPr>
    </w:lvl>
    <w:lvl w:ilvl="7">
      <w:numFmt w:val="bullet"/>
      <w:lvlText w:val="•"/>
      <w:lvlJc w:val="left"/>
      <w:pPr>
        <w:ind w:left="6970" w:hanging="540"/>
      </w:pPr>
      <w:rPr>
        <w:rFonts w:hint="default"/>
      </w:rPr>
    </w:lvl>
    <w:lvl w:ilvl="8">
      <w:numFmt w:val="bullet"/>
      <w:lvlText w:val="•"/>
      <w:lvlJc w:val="left"/>
      <w:pPr>
        <w:ind w:left="7840" w:hanging="540"/>
      </w:pPr>
      <w:rPr>
        <w:rFonts w:hint="default"/>
      </w:rPr>
    </w:lvl>
  </w:abstractNum>
  <w:abstractNum w:abstractNumId="1"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2"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35"/>
    <w:rsid w:val="000A00D9"/>
    <w:rsid w:val="00333859"/>
    <w:rsid w:val="005A0735"/>
    <w:rsid w:val="00BB6293"/>
    <w:rsid w:val="00C35252"/>
    <w:rsid w:val="00E7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4972"/>
  <w15:chartTrackingRefBased/>
  <w15:docId w15:val="{EC5A68CF-48B7-483C-B314-0E62AF83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35"/>
  </w:style>
  <w:style w:type="paragraph" w:styleId="Heading1">
    <w:name w:val="heading 1"/>
    <w:basedOn w:val="Normal"/>
    <w:link w:val="Heading1Char"/>
    <w:uiPriority w:val="9"/>
    <w:qFormat/>
    <w:rsid w:val="005A0735"/>
    <w:pPr>
      <w:widowControl w:val="0"/>
      <w:autoSpaceDE w:val="0"/>
      <w:autoSpaceDN w:val="0"/>
      <w:spacing w:after="0" w:line="240" w:lineRule="auto"/>
      <w:ind w:left="33" w:right="5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735"/>
    <w:rPr>
      <w:rFonts w:ascii="Times New Roman" w:eastAsia="Times New Roman" w:hAnsi="Times New Roman" w:cs="Times New Roman"/>
      <w:b/>
      <w:bCs/>
      <w:sz w:val="24"/>
      <w:szCs w:val="24"/>
    </w:rPr>
  </w:style>
  <w:style w:type="paragraph" w:styleId="ListParagraph">
    <w:name w:val="List Paragraph"/>
    <w:basedOn w:val="Normal"/>
    <w:uiPriority w:val="1"/>
    <w:qFormat/>
    <w:rsid w:val="005A0735"/>
    <w:pPr>
      <w:ind w:left="720"/>
      <w:contextualSpacing/>
    </w:pPr>
  </w:style>
  <w:style w:type="paragraph" w:styleId="BodyText">
    <w:name w:val="Body Text"/>
    <w:basedOn w:val="Normal"/>
    <w:link w:val="BodyTextChar"/>
    <w:uiPriority w:val="1"/>
    <w:qFormat/>
    <w:rsid w:val="005A073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A07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2021-03-06T02:37:00Z</dcterms:created>
  <dcterms:modified xsi:type="dcterms:W3CDTF">2021-03-30T17:00:00Z</dcterms:modified>
</cp:coreProperties>
</file>