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528F2" w14:textId="77777777" w:rsidR="003138ED" w:rsidRPr="003138ED" w:rsidRDefault="003138ED" w:rsidP="003138ED">
      <w:pPr>
        <w:autoSpaceDE w:val="0"/>
        <w:autoSpaceDN w:val="0"/>
        <w:adjustRightInd w:val="0"/>
        <w:spacing w:after="0" w:line="240" w:lineRule="auto"/>
        <w:jc w:val="center"/>
        <w:outlineLvl w:val="1"/>
        <w:rPr>
          <w:rFonts w:ascii="Times New Roman" w:eastAsia="Calibri" w:hAnsi="Times New Roman" w:cs="Times New Roman"/>
          <w:b/>
          <w:bCs/>
          <w:spacing w:val="-5"/>
          <w:kern w:val="0"/>
          <w14:ligatures w14:val="none"/>
        </w:rPr>
      </w:pPr>
      <w:bookmarkStart w:id="0" w:name="_Toc196481953"/>
      <w:bookmarkStart w:id="1" w:name="_Hlk147350407"/>
      <w:bookmarkStart w:id="2" w:name="_Hlk211332658"/>
      <w:r w:rsidRPr="003138ED">
        <w:rPr>
          <w:rFonts w:ascii="Times New Roman" w:eastAsia="Calibri" w:hAnsi="Times New Roman" w:cs="Times New Roman"/>
          <w:b/>
          <w:bCs/>
          <w:kern w:val="0"/>
          <w14:ligatures w14:val="none"/>
        </w:rPr>
        <w:t xml:space="preserve">17.22 Copyright—Affirmative Defense—Fair </w:t>
      </w:r>
      <w:r w:rsidRPr="003138ED">
        <w:rPr>
          <w:rFonts w:ascii="Times New Roman" w:eastAsia="Calibri" w:hAnsi="Times New Roman" w:cs="Times New Roman"/>
          <w:b/>
          <w:bCs/>
          <w:spacing w:val="-5"/>
          <w:kern w:val="0"/>
          <w14:ligatures w14:val="none"/>
        </w:rPr>
        <w:t xml:space="preserve">Use </w:t>
      </w:r>
    </w:p>
    <w:p w14:paraId="3E50A501" w14:textId="77777777" w:rsidR="003138ED" w:rsidRPr="003138ED" w:rsidRDefault="003138ED" w:rsidP="003138ED">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r w:rsidRPr="003138ED">
        <w:rPr>
          <w:rFonts w:ascii="Times New Roman" w:eastAsia="Calibri" w:hAnsi="Times New Roman" w:cs="Times New Roman"/>
          <w:b/>
          <w:bCs/>
          <w:kern w:val="0"/>
          <w14:ligatures w14:val="none"/>
        </w:rPr>
        <w:t>(17 U.S.C. §</w:t>
      </w:r>
      <w:r w:rsidRPr="003138ED">
        <w:rPr>
          <w:rFonts w:ascii="Times New Roman" w:eastAsia="Calibri" w:hAnsi="Times New Roman" w:cs="Times New Roman"/>
          <w:b/>
          <w:bCs/>
          <w:spacing w:val="-1"/>
          <w:kern w:val="0"/>
          <w14:ligatures w14:val="none"/>
        </w:rPr>
        <w:t xml:space="preserve"> </w:t>
      </w:r>
      <w:r w:rsidRPr="003138ED">
        <w:rPr>
          <w:rFonts w:ascii="Times New Roman" w:eastAsia="Calibri" w:hAnsi="Times New Roman" w:cs="Times New Roman"/>
          <w:b/>
          <w:bCs/>
          <w:kern w:val="0"/>
          <w14:ligatures w14:val="none"/>
        </w:rPr>
        <w:t>107)</w:t>
      </w:r>
      <w:bookmarkEnd w:id="0"/>
    </w:p>
    <w:bookmarkEnd w:id="1"/>
    <w:p w14:paraId="36D6F014" w14:textId="77777777" w:rsidR="003138ED" w:rsidRPr="003138ED" w:rsidRDefault="003138ED" w:rsidP="003138ED">
      <w:pPr>
        <w:widowControl w:val="0"/>
        <w:autoSpaceDE w:val="0"/>
        <w:autoSpaceDN w:val="0"/>
        <w:spacing w:after="0" w:line="240" w:lineRule="auto"/>
        <w:rPr>
          <w:rFonts w:ascii="Times New Roman" w:eastAsia="Times New Roman" w:hAnsi="Times New Roman" w:cs="Times New Roman"/>
          <w:b/>
          <w:kern w:val="0"/>
          <w14:ligatures w14:val="none"/>
        </w:rPr>
      </w:pPr>
    </w:p>
    <w:p w14:paraId="6EC50B80" w14:textId="73791A55" w:rsidR="003138ED" w:rsidRPr="003138ED" w:rsidRDefault="003138ED" w:rsidP="003138ED">
      <w:pPr>
        <w:spacing w:after="0" w:line="240" w:lineRule="auto"/>
        <w:ind w:firstLine="720"/>
        <w:rPr>
          <w:rFonts w:ascii="Times New Roman" w:eastAsia="Calibri" w:hAnsi="Times New Roman" w:cs="Times New Roman"/>
          <w:kern w:val="0"/>
          <w14:ligatures w14:val="none"/>
        </w:rPr>
      </w:pPr>
      <w:r w:rsidRPr="003138ED">
        <w:rPr>
          <w:rFonts w:ascii="Times New Roman" w:eastAsia="Calibri" w:hAnsi="Times New Roman" w:cs="Times New Roman"/>
          <w:kern w:val="0"/>
          <w14:ligatures w14:val="none"/>
        </w:rPr>
        <w:t xml:space="preserve">One who is not the owner of the copyright may </w:t>
      </w:r>
      <w:r w:rsidR="00EB1047" w:rsidRPr="00EB1047">
        <w:rPr>
          <w:rFonts w:ascii="Times New Roman" w:eastAsia="Calibri" w:hAnsi="Times New Roman" w:cs="Times New Roman"/>
          <w:kern w:val="0"/>
          <w14:ligatures w14:val="none"/>
        </w:rPr>
        <w:t xml:space="preserve">nonetheless </w:t>
      </w:r>
      <w:r w:rsidRPr="003138ED">
        <w:rPr>
          <w:rFonts w:ascii="Times New Roman" w:eastAsia="Calibri" w:hAnsi="Times New Roman" w:cs="Times New Roman"/>
          <w:kern w:val="0"/>
          <w14:ligatures w14:val="none"/>
        </w:rPr>
        <w:t xml:space="preserve">use the copyrighted work </w:t>
      </w:r>
      <w:r w:rsidR="00EB1047">
        <w:rPr>
          <w:rFonts w:ascii="Times New Roman" w:eastAsia="Calibri" w:hAnsi="Times New Roman" w:cs="Times New Roman"/>
          <w:kern w:val="0"/>
          <w14:ligatures w14:val="none"/>
        </w:rPr>
        <w:t xml:space="preserve"> certain</w:t>
      </w:r>
      <w:r w:rsidR="00A71FC0">
        <w:rPr>
          <w:rFonts w:ascii="Times New Roman" w:eastAsia="Calibri" w:hAnsi="Times New Roman" w:cs="Times New Roman"/>
          <w:kern w:val="0"/>
          <w14:ligatures w14:val="none"/>
        </w:rPr>
        <w:t xml:space="preserve"> </w:t>
      </w:r>
      <w:r w:rsidRPr="003138ED">
        <w:rPr>
          <w:rFonts w:ascii="Times New Roman" w:eastAsia="Calibri" w:hAnsi="Times New Roman" w:cs="Times New Roman"/>
          <w:kern w:val="0"/>
          <w14:ligatures w14:val="none"/>
        </w:rPr>
        <w:t>circumstances without the consent of the copyright owner. Such use of a copyrighted work is called a fair use. The owner of a copyright cannot prevent others from making a fair use of the owner’s copyrighted work.</w:t>
      </w:r>
    </w:p>
    <w:p w14:paraId="18571E58" w14:textId="77777777" w:rsidR="003138ED" w:rsidRPr="003138ED" w:rsidRDefault="003138ED" w:rsidP="003138ED">
      <w:pPr>
        <w:spacing w:after="0" w:line="240" w:lineRule="auto"/>
        <w:rPr>
          <w:rFonts w:ascii="Times New Roman" w:eastAsia="Calibri" w:hAnsi="Times New Roman" w:cs="Times New Roman"/>
          <w:kern w:val="0"/>
          <w14:ligatures w14:val="none"/>
        </w:rPr>
      </w:pPr>
    </w:p>
    <w:p w14:paraId="6133DEB9" w14:textId="4BD7DA4D" w:rsidR="003138ED" w:rsidRPr="003138ED" w:rsidRDefault="003138ED" w:rsidP="003138ED">
      <w:pPr>
        <w:spacing w:after="0" w:line="240" w:lineRule="auto"/>
        <w:rPr>
          <w:rFonts w:ascii="Times New Roman" w:eastAsia="Calibri" w:hAnsi="Times New Roman" w:cs="Times New Roman"/>
          <w:kern w:val="0"/>
          <w14:ligatures w14:val="none"/>
        </w:rPr>
      </w:pPr>
      <w:r w:rsidRPr="003138ED">
        <w:rPr>
          <w:rFonts w:ascii="Times New Roman" w:eastAsia="Calibri" w:hAnsi="Times New Roman" w:cs="Times New Roman"/>
          <w:kern w:val="0"/>
          <w14:ligatures w14:val="none"/>
        </w:rPr>
        <w:tab/>
        <w:t>The defendant [</w:t>
      </w:r>
      <w:r w:rsidRPr="003138ED">
        <w:rPr>
          <w:rFonts w:ascii="Times New Roman" w:eastAsia="Calibri" w:hAnsi="Times New Roman" w:cs="Times New Roman"/>
          <w:i/>
          <w:iCs/>
          <w:kern w:val="0"/>
          <w:u w:val="single"/>
          <w14:ligatures w14:val="none"/>
        </w:rPr>
        <w:t>name</w:t>
      </w:r>
      <w:r w:rsidRPr="003138ED">
        <w:rPr>
          <w:rFonts w:ascii="Times New Roman" w:eastAsia="Calibri" w:hAnsi="Times New Roman" w:cs="Times New Roman"/>
          <w:kern w:val="0"/>
          <w14:ligatures w14:val="none"/>
        </w:rPr>
        <w:t>] contends that [he] [she] [</w:t>
      </w:r>
      <w:r w:rsidRPr="003138ED">
        <w:rPr>
          <w:rFonts w:ascii="Times New Roman" w:eastAsia="Calibri" w:hAnsi="Times New Roman" w:cs="Times New Roman"/>
          <w:i/>
          <w:iCs/>
          <w:kern w:val="0"/>
          <w:u w:val="single"/>
          <w14:ligatures w14:val="none"/>
        </w:rPr>
        <w:t>other pronoun</w:t>
      </w:r>
      <w:r w:rsidRPr="003138ED">
        <w:rPr>
          <w:rFonts w:ascii="Times New Roman" w:eastAsia="Calibri" w:hAnsi="Times New Roman" w:cs="Times New Roman"/>
          <w:kern w:val="0"/>
          <w14:ligatures w14:val="none"/>
        </w:rPr>
        <w:t>] made fair use of the copyrighted work for the purpose of [criticism] [comment] [news reporting] [teaching] [scholarship] [research] [other purpose alleged]. The defendant [</w:t>
      </w:r>
      <w:r w:rsidRPr="003138ED">
        <w:rPr>
          <w:rFonts w:ascii="Times New Roman" w:eastAsia="Calibri" w:hAnsi="Times New Roman" w:cs="Times New Roman"/>
          <w:i/>
          <w:iCs/>
          <w:kern w:val="0"/>
          <w:u w:val="single"/>
          <w14:ligatures w14:val="none"/>
        </w:rPr>
        <w:t>name</w:t>
      </w:r>
      <w:r w:rsidRPr="003138ED">
        <w:rPr>
          <w:rFonts w:ascii="Times New Roman" w:eastAsia="Calibri" w:hAnsi="Times New Roman" w:cs="Times New Roman"/>
          <w:kern w:val="0"/>
          <w14:ligatures w14:val="none"/>
        </w:rPr>
        <w:t xml:space="preserve">] has the burden of proving </w:t>
      </w:r>
      <w:r w:rsidR="00EB1047" w:rsidRPr="003138ED">
        <w:rPr>
          <w:rFonts w:ascii="Times New Roman" w:eastAsia="Calibri" w:hAnsi="Times New Roman" w:cs="Times New Roman"/>
          <w:kern w:val="0"/>
          <w14:ligatures w14:val="none"/>
        </w:rPr>
        <w:t>th</w:t>
      </w:r>
      <w:r w:rsidR="00EB1047">
        <w:rPr>
          <w:rFonts w:ascii="Times New Roman" w:eastAsia="Calibri" w:hAnsi="Times New Roman" w:cs="Times New Roman"/>
          <w:kern w:val="0"/>
          <w14:ligatures w14:val="none"/>
        </w:rPr>
        <w:t>e</w:t>
      </w:r>
      <w:r w:rsidR="00EB1047" w:rsidRPr="003138ED">
        <w:rPr>
          <w:rFonts w:ascii="Times New Roman" w:eastAsia="Calibri" w:hAnsi="Times New Roman" w:cs="Times New Roman"/>
          <w:kern w:val="0"/>
          <w14:ligatures w14:val="none"/>
        </w:rPr>
        <w:t xml:space="preserve"> </w:t>
      </w:r>
      <w:r w:rsidRPr="003138ED">
        <w:rPr>
          <w:rFonts w:ascii="Times New Roman" w:eastAsia="Calibri" w:hAnsi="Times New Roman" w:cs="Times New Roman"/>
          <w:kern w:val="0"/>
          <w14:ligatures w14:val="none"/>
        </w:rPr>
        <w:t>defense by a preponderance of the evidence.</w:t>
      </w:r>
    </w:p>
    <w:p w14:paraId="1DF4475C" w14:textId="77777777" w:rsidR="003138ED" w:rsidRPr="003138ED" w:rsidRDefault="003138ED" w:rsidP="003138ED">
      <w:pPr>
        <w:spacing w:after="0" w:line="240" w:lineRule="auto"/>
        <w:rPr>
          <w:rFonts w:ascii="Times New Roman" w:eastAsia="Calibri" w:hAnsi="Times New Roman" w:cs="Times New Roman"/>
          <w:kern w:val="0"/>
          <w14:ligatures w14:val="none"/>
        </w:rPr>
      </w:pPr>
    </w:p>
    <w:p w14:paraId="3F625A55" w14:textId="77777777" w:rsidR="003138ED" w:rsidRPr="003138ED" w:rsidRDefault="003138ED" w:rsidP="003138ED">
      <w:pPr>
        <w:spacing w:after="0" w:line="240" w:lineRule="auto"/>
        <w:rPr>
          <w:rFonts w:ascii="Times New Roman" w:eastAsia="Calibri" w:hAnsi="Times New Roman" w:cs="Times New Roman"/>
          <w:kern w:val="0"/>
          <w14:ligatures w14:val="none"/>
        </w:rPr>
      </w:pPr>
      <w:r w:rsidRPr="003138ED">
        <w:rPr>
          <w:rFonts w:ascii="Times New Roman" w:eastAsia="Calibri" w:hAnsi="Times New Roman" w:cs="Times New Roman"/>
          <w:kern w:val="0"/>
          <w14:ligatures w14:val="none"/>
        </w:rPr>
        <w:tab/>
        <w:t>In determining whether the use made of the work was fair, you should consider the following factors:</w:t>
      </w:r>
    </w:p>
    <w:p w14:paraId="3B30346A" w14:textId="77777777" w:rsidR="003138ED" w:rsidRPr="003138ED" w:rsidRDefault="003138ED" w:rsidP="003138ED">
      <w:pPr>
        <w:spacing w:after="0" w:line="240" w:lineRule="auto"/>
        <w:rPr>
          <w:rFonts w:ascii="Times New Roman" w:eastAsia="Calibri" w:hAnsi="Times New Roman" w:cs="Times New Roman"/>
          <w:kern w:val="0"/>
          <w14:ligatures w14:val="none"/>
        </w:rPr>
      </w:pPr>
    </w:p>
    <w:p w14:paraId="43578F90" w14:textId="33830247" w:rsidR="003138ED" w:rsidRPr="003138ED" w:rsidRDefault="003138ED" w:rsidP="00207243">
      <w:pPr>
        <w:numPr>
          <w:ilvl w:val="0"/>
          <w:numId w:val="2"/>
        </w:numPr>
        <w:spacing w:after="0" w:line="240" w:lineRule="auto"/>
        <w:contextualSpacing/>
        <w:rPr>
          <w:rFonts w:ascii="Times New Roman" w:eastAsia="Calibri" w:hAnsi="Times New Roman" w:cs="Times New Roman"/>
          <w:kern w:val="0"/>
          <w14:ligatures w14:val="none"/>
        </w:rPr>
      </w:pPr>
      <w:r w:rsidRPr="003138ED">
        <w:rPr>
          <w:rFonts w:ascii="Times New Roman" w:eastAsia="Calibri" w:hAnsi="Times New Roman" w:cs="Times New Roman"/>
          <w:kern w:val="0"/>
          <w14:ligatures w14:val="none"/>
        </w:rPr>
        <w:t xml:space="preserve">the purpose and character of the use, including whether the use is of a commercial nature or is for nonprofit educational </w:t>
      </w:r>
      <w:proofErr w:type="gramStart"/>
      <w:r w:rsidRPr="003138ED">
        <w:rPr>
          <w:rFonts w:ascii="Times New Roman" w:eastAsia="Calibri" w:hAnsi="Times New Roman" w:cs="Times New Roman"/>
          <w:kern w:val="0"/>
          <w14:ligatures w14:val="none"/>
        </w:rPr>
        <w:t>purposes;</w:t>
      </w:r>
      <w:proofErr w:type="gramEnd"/>
    </w:p>
    <w:p w14:paraId="112B64FA" w14:textId="77777777" w:rsidR="003138ED" w:rsidRPr="003138ED" w:rsidRDefault="003138ED" w:rsidP="00207243">
      <w:pPr>
        <w:spacing w:after="0" w:line="240" w:lineRule="auto"/>
        <w:ind w:left="1440" w:hanging="720"/>
        <w:rPr>
          <w:rFonts w:ascii="Times New Roman" w:eastAsia="Calibri" w:hAnsi="Times New Roman" w:cs="Times New Roman"/>
          <w:kern w:val="0"/>
          <w14:ligatures w14:val="none"/>
        </w:rPr>
      </w:pPr>
    </w:p>
    <w:p w14:paraId="48CD803E" w14:textId="77777777" w:rsidR="003138ED" w:rsidRPr="003138ED" w:rsidRDefault="003138ED" w:rsidP="00207243">
      <w:pPr>
        <w:numPr>
          <w:ilvl w:val="0"/>
          <w:numId w:val="2"/>
        </w:numPr>
        <w:spacing w:after="0" w:line="240" w:lineRule="auto"/>
        <w:contextualSpacing/>
        <w:rPr>
          <w:rFonts w:ascii="Times New Roman" w:eastAsia="Calibri" w:hAnsi="Times New Roman" w:cs="Times New Roman"/>
          <w:kern w:val="0"/>
          <w14:ligatures w14:val="none"/>
        </w:rPr>
      </w:pPr>
      <w:r w:rsidRPr="003138ED">
        <w:rPr>
          <w:rFonts w:ascii="Times New Roman" w:eastAsia="Calibri" w:hAnsi="Times New Roman" w:cs="Times New Roman"/>
          <w:kern w:val="0"/>
          <w14:ligatures w14:val="none"/>
        </w:rPr>
        <w:t xml:space="preserve">the nature of the copyrighted </w:t>
      </w:r>
      <w:proofErr w:type="gramStart"/>
      <w:r w:rsidRPr="003138ED">
        <w:rPr>
          <w:rFonts w:ascii="Times New Roman" w:eastAsia="Calibri" w:hAnsi="Times New Roman" w:cs="Times New Roman"/>
          <w:kern w:val="0"/>
          <w14:ligatures w14:val="none"/>
        </w:rPr>
        <w:t>work;</w:t>
      </w:r>
      <w:proofErr w:type="gramEnd"/>
    </w:p>
    <w:p w14:paraId="0EBDB7EC" w14:textId="77777777" w:rsidR="003138ED" w:rsidRPr="003138ED" w:rsidRDefault="003138ED" w:rsidP="00207243">
      <w:pPr>
        <w:spacing w:after="0" w:line="240" w:lineRule="auto"/>
        <w:ind w:left="1440" w:hanging="720"/>
        <w:rPr>
          <w:rFonts w:ascii="Times New Roman" w:eastAsia="Calibri" w:hAnsi="Times New Roman" w:cs="Times New Roman"/>
          <w:kern w:val="0"/>
          <w14:ligatures w14:val="none"/>
        </w:rPr>
      </w:pPr>
    </w:p>
    <w:p w14:paraId="1F4593B5" w14:textId="0237330D" w:rsidR="003138ED" w:rsidRPr="003138ED" w:rsidRDefault="003138ED" w:rsidP="00207243">
      <w:pPr>
        <w:numPr>
          <w:ilvl w:val="0"/>
          <w:numId w:val="2"/>
        </w:numPr>
        <w:spacing w:after="0" w:line="240" w:lineRule="auto"/>
        <w:contextualSpacing/>
        <w:rPr>
          <w:rFonts w:ascii="Times New Roman" w:eastAsia="Calibri" w:hAnsi="Times New Roman" w:cs="Times New Roman"/>
          <w:kern w:val="0"/>
          <w14:ligatures w14:val="none"/>
        </w:rPr>
      </w:pPr>
      <w:r w:rsidRPr="003138ED">
        <w:rPr>
          <w:rFonts w:ascii="Times New Roman" w:eastAsia="Calibri" w:hAnsi="Times New Roman" w:cs="Times New Roman"/>
          <w:kern w:val="0"/>
          <w14:ligatures w14:val="none"/>
        </w:rPr>
        <w:t xml:space="preserve">the amount and substantiality of the portion used in relation to the copyrighted work as a </w:t>
      </w:r>
      <w:proofErr w:type="gramStart"/>
      <w:r w:rsidRPr="003138ED">
        <w:rPr>
          <w:rFonts w:ascii="Times New Roman" w:eastAsia="Calibri" w:hAnsi="Times New Roman" w:cs="Times New Roman"/>
          <w:kern w:val="0"/>
          <w14:ligatures w14:val="none"/>
        </w:rPr>
        <w:t>whole;</w:t>
      </w:r>
      <w:proofErr w:type="gramEnd"/>
    </w:p>
    <w:p w14:paraId="4B40385B" w14:textId="77777777" w:rsidR="003138ED" w:rsidRPr="003138ED" w:rsidRDefault="003138ED" w:rsidP="00207243">
      <w:pPr>
        <w:spacing w:after="0" w:line="240" w:lineRule="auto"/>
        <w:ind w:left="1440" w:hanging="720"/>
        <w:rPr>
          <w:rFonts w:ascii="Times New Roman" w:eastAsia="Calibri" w:hAnsi="Times New Roman" w:cs="Times New Roman"/>
          <w:kern w:val="0"/>
          <w14:ligatures w14:val="none"/>
        </w:rPr>
      </w:pPr>
    </w:p>
    <w:p w14:paraId="79BEDE56" w14:textId="173337CB" w:rsidR="003138ED" w:rsidRPr="003138ED" w:rsidRDefault="003138ED" w:rsidP="00207243">
      <w:pPr>
        <w:numPr>
          <w:ilvl w:val="0"/>
          <w:numId w:val="2"/>
        </w:numPr>
        <w:spacing w:after="0" w:line="240" w:lineRule="auto"/>
        <w:contextualSpacing/>
        <w:rPr>
          <w:rFonts w:ascii="Times New Roman" w:eastAsia="Calibri" w:hAnsi="Times New Roman" w:cs="Times New Roman"/>
          <w:kern w:val="0"/>
          <w14:ligatures w14:val="none"/>
        </w:rPr>
      </w:pPr>
      <w:r w:rsidRPr="003138ED">
        <w:rPr>
          <w:rFonts w:ascii="Times New Roman" w:eastAsia="Calibri" w:hAnsi="Times New Roman" w:cs="Times New Roman"/>
          <w:kern w:val="0"/>
          <w14:ligatures w14:val="none"/>
        </w:rPr>
        <w:t>the effect of the use upon the potential market for or value of the copyrighted work; and</w:t>
      </w:r>
    </w:p>
    <w:p w14:paraId="2A647CEF" w14:textId="77777777" w:rsidR="003138ED" w:rsidRPr="003138ED" w:rsidRDefault="003138ED" w:rsidP="00207243">
      <w:pPr>
        <w:spacing w:after="0" w:line="240" w:lineRule="auto"/>
        <w:ind w:left="1440" w:hanging="720"/>
        <w:rPr>
          <w:rFonts w:ascii="Times New Roman" w:eastAsia="Calibri" w:hAnsi="Times New Roman" w:cs="Times New Roman"/>
          <w:kern w:val="0"/>
          <w14:ligatures w14:val="none"/>
        </w:rPr>
      </w:pPr>
    </w:p>
    <w:p w14:paraId="6C19A1AE" w14:textId="1361754D" w:rsidR="003138ED" w:rsidRPr="003138ED" w:rsidRDefault="003138ED" w:rsidP="00207243">
      <w:pPr>
        <w:spacing w:after="0" w:line="240" w:lineRule="auto"/>
        <w:ind w:left="1440" w:hanging="720"/>
        <w:rPr>
          <w:rFonts w:ascii="Times New Roman" w:eastAsia="Calibri" w:hAnsi="Times New Roman" w:cs="Times New Roman"/>
          <w:kern w:val="0"/>
          <w14:ligatures w14:val="none"/>
        </w:rPr>
      </w:pPr>
      <w:r w:rsidRPr="003138ED">
        <w:rPr>
          <w:rFonts w:ascii="Times New Roman" w:eastAsia="Calibri" w:hAnsi="Times New Roman" w:cs="Times New Roman"/>
          <w:kern w:val="0"/>
          <w14:ligatures w14:val="none"/>
        </w:rPr>
        <w:t>[(5)]</w:t>
      </w:r>
      <w:r w:rsidRPr="003138ED">
        <w:rPr>
          <w:rFonts w:ascii="Times New Roman" w:eastAsia="Calibri" w:hAnsi="Times New Roman" w:cs="Times New Roman"/>
          <w:kern w:val="0"/>
          <w14:ligatures w14:val="none"/>
        </w:rPr>
        <w:tab/>
        <w:t>[insert any other factor that bears on the issue of fair use].</w:t>
      </w:r>
    </w:p>
    <w:p w14:paraId="2E5C8DA4" w14:textId="77777777" w:rsidR="003138ED" w:rsidRPr="003138ED" w:rsidRDefault="003138ED" w:rsidP="00207243">
      <w:pPr>
        <w:spacing w:after="0" w:line="240" w:lineRule="auto"/>
        <w:rPr>
          <w:rFonts w:ascii="Times New Roman" w:eastAsia="Calibri" w:hAnsi="Times New Roman" w:cs="Times New Roman"/>
          <w:kern w:val="0"/>
          <w14:ligatures w14:val="none"/>
        </w:rPr>
      </w:pPr>
    </w:p>
    <w:p w14:paraId="2FB2A91E" w14:textId="77777777" w:rsidR="003138ED" w:rsidRPr="003138ED" w:rsidRDefault="003138ED" w:rsidP="003138ED">
      <w:pPr>
        <w:spacing w:after="0" w:line="240" w:lineRule="auto"/>
        <w:rPr>
          <w:rFonts w:ascii="Times New Roman" w:eastAsia="Calibri" w:hAnsi="Times New Roman" w:cs="Times New Roman"/>
          <w:kern w:val="0"/>
          <w14:ligatures w14:val="none"/>
        </w:rPr>
      </w:pPr>
      <w:r w:rsidRPr="003138ED">
        <w:rPr>
          <w:rFonts w:ascii="Times New Roman" w:eastAsia="Calibri" w:hAnsi="Times New Roman" w:cs="Times New Roman"/>
          <w:kern w:val="0"/>
          <w14:ligatures w14:val="none"/>
        </w:rPr>
        <w:tab/>
        <w:t>If you find that the defendant [</w:t>
      </w:r>
      <w:r w:rsidRPr="003138ED">
        <w:rPr>
          <w:rFonts w:ascii="Times New Roman" w:eastAsia="Calibri" w:hAnsi="Times New Roman" w:cs="Times New Roman"/>
          <w:i/>
          <w:iCs/>
          <w:kern w:val="0"/>
          <w:u w:val="single"/>
          <w14:ligatures w14:val="none"/>
        </w:rPr>
        <w:t>name</w:t>
      </w:r>
      <w:r w:rsidRPr="003138ED">
        <w:rPr>
          <w:rFonts w:ascii="Times New Roman" w:eastAsia="Calibri" w:hAnsi="Times New Roman" w:cs="Times New Roman"/>
          <w:kern w:val="0"/>
          <w14:ligatures w14:val="none"/>
        </w:rPr>
        <w:t>] has proved by a preponderance of the evidence that the defendant made a fair use of the plaintiff [</w:t>
      </w:r>
      <w:r w:rsidRPr="003138ED">
        <w:rPr>
          <w:rFonts w:ascii="Times New Roman" w:eastAsia="Calibri" w:hAnsi="Times New Roman" w:cs="Times New Roman"/>
          <w:i/>
          <w:iCs/>
          <w:kern w:val="0"/>
          <w:u w:val="single"/>
          <w14:ligatures w14:val="none"/>
        </w:rPr>
        <w:t>name</w:t>
      </w:r>
      <w:r w:rsidRPr="003138ED">
        <w:rPr>
          <w:rFonts w:ascii="Times New Roman" w:eastAsia="Calibri" w:hAnsi="Times New Roman" w:cs="Times New Roman"/>
          <w:kern w:val="0"/>
          <w14:ligatures w14:val="none"/>
        </w:rPr>
        <w:t>]’s work, your verdict should be for the defendant [</w:t>
      </w:r>
      <w:r w:rsidRPr="003138ED">
        <w:rPr>
          <w:rFonts w:ascii="Times New Roman" w:eastAsia="Calibri" w:hAnsi="Times New Roman" w:cs="Times New Roman"/>
          <w:i/>
          <w:iCs/>
          <w:kern w:val="0"/>
          <w:u w:val="single"/>
          <w14:ligatures w14:val="none"/>
        </w:rPr>
        <w:t>name</w:t>
      </w:r>
      <w:r w:rsidRPr="003138ED">
        <w:rPr>
          <w:rFonts w:ascii="Times New Roman" w:eastAsia="Calibri" w:hAnsi="Times New Roman" w:cs="Times New Roman"/>
          <w:kern w:val="0"/>
          <w14:ligatures w14:val="none"/>
        </w:rPr>
        <w:t>].</w:t>
      </w:r>
    </w:p>
    <w:p w14:paraId="740EA3E2" w14:textId="77777777" w:rsidR="003138ED" w:rsidRPr="003138ED" w:rsidRDefault="003138ED" w:rsidP="003138ED">
      <w:pPr>
        <w:spacing w:after="0" w:line="240" w:lineRule="auto"/>
        <w:rPr>
          <w:rFonts w:ascii="Times New Roman" w:eastAsia="Calibri" w:hAnsi="Times New Roman" w:cs="Times New Roman"/>
          <w:kern w:val="0"/>
          <w14:ligatures w14:val="none"/>
        </w:rPr>
      </w:pPr>
    </w:p>
    <w:p w14:paraId="70B219F2" w14:textId="77777777" w:rsidR="003138ED" w:rsidRPr="003138ED" w:rsidRDefault="003138ED" w:rsidP="003138ED">
      <w:pPr>
        <w:spacing w:after="0" w:line="240" w:lineRule="auto"/>
        <w:jc w:val="center"/>
        <w:rPr>
          <w:rFonts w:ascii="Times New Roman" w:eastAsia="Calibri" w:hAnsi="Times New Roman" w:cs="Times New Roman"/>
          <w:b/>
          <w:bCs/>
          <w:kern w:val="0"/>
          <w14:ligatures w14:val="none"/>
        </w:rPr>
      </w:pPr>
      <w:r w:rsidRPr="003138ED">
        <w:rPr>
          <w:rFonts w:ascii="Times New Roman" w:eastAsia="Calibri" w:hAnsi="Times New Roman" w:cs="Times New Roman"/>
          <w:b/>
          <w:bCs/>
          <w:kern w:val="0"/>
          <w14:ligatures w14:val="none"/>
        </w:rPr>
        <w:t>Comment</w:t>
      </w:r>
    </w:p>
    <w:p w14:paraId="7B9A5B10" w14:textId="77777777" w:rsidR="003138ED" w:rsidRPr="003138ED" w:rsidRDefault="003138ED" w:rsidP="003138ED">
      <w:pPr>
        <w:spacing w:after="0" w:line="240" w:lineRule="auto"/>
        <w:jc w:val="center"/>
        <w:rPr>
          <w:rFonts w:ascii="Times New Roman" w:eastAsia="Calibri" w:hAnsi="Times New Roman" w:cs="Times New Roman"/>
          <w:b/>
          <w:bCs/>
          <w:kern w:val="0"/>
          <w14:ligatures w14:val="none"/>
        </w:rPr>
      </w:pPr>
    </w:p>
    <w:p w14:paraId="6BA46248" w14:textId="77777777" w:rsidR="003138ED" w:rsidRPr="003138ED" w:rsidRDefault="003138ED" w:rsidP="003138ED">
      <w:pPr>
        <w:spacing w:after="0" w:line="240" w:lineRule="auto"/>
        <w:rPr>
          <w:rFonts w:ascii="Times New Roman" w:eastAsia="Calibri" w:hAnsi="Times New Roman" w:cs="Times New Roman"/>
          <w:kern w:val="0"/>
          <w14:ligatures w14:val="none"/>
        </w:rPr>
      </w:pPr>
      <w:r w:rsidRPr="003138ED">
        <w:rPr>
          <w:rFonts w:ascii="Times New Roman" w:eastAsia="Calibri" w:hAnsi="Times New Roman" w:cs="Times New Roman"/>
          <w:kern w:val="0"/>
          <w14:ligatures w14:val="none"/>
        </w:rPr>
        <w:tab/>
        <w:t xml:space="preserve">“[T]he ‘fair use’ doctrine . . .  [is] an ‘equitable rule of reason’ that ‘permits courts to avoid rigid application of the copyright statute when, on occasion, it would stifle the very creativity which that law is designed to foster.’” </w:t>
      </w:r>
      <w:r w:rsidRPr="003138ED">
        <w:rPr>
          <w:rFonts w:ascii="Times New Roman" w:eastAsia="Calibri" w:hAnsi="Times New Roman" w:cs="Times New Roman"/>
          <w:i/>
          <w:iCs/>
          <w:kern w:val="0"/>
          <w14:ligatures w14:val="none"/>
        </w:rPr>
        <w:t>Google LLC v. Oracle Am., Inc.</w:t>
      </w:r>
      <w:r w:rsidRPr="003138ED">
        <w:rPr>
          <w:rFonts w:ascii="Times New Roman" w:eastAsia="Calibri" w:hAnsi="Times New Roman" w:cs="Times New Roman"/>
          <w:kern w:val="0"/>
          <w14:ligatures w14:val="none"/>
        </w:rPr>
        <w:t>, 593 U.S. 1, 18 (2021) (quoting</w:t>
      </w:r>
      <w:r w:rsidRPr="003138ED">
        <w:rPr>
          <w:rFonts w:ascii="Times New Roman" w:eastAsia="Calibri" w:hAnsi="Times New Roman" w:cs="Times New Roman"/>
          <w:i/>
          <w:iCs/>
          <w:kern w:val="0"/>
          <w14:ligatures w14:val="none"/>
        </w:rPr>
        <w:t xml:space="preserve"> Stewart v. Abend</w:t>
      </w:r>
      <w:r w:rsidRPr="003138ED">
        <w:rPr>
          <w:rFonts w:ascii="Times New Roman" w:eastAsia="Calibri" w:hAnsi="Times New Roman" w:cs="Times New Roman"/>
          <w:kern w:val="0"/>
          <w14:ligatures w14:val="none"/>
        </w:rPr>
        <w:t xml:space="preserve">, 495 U.S. 207, 236 (1990)); </w:t>
      </w:r>
      <w:r w:rsidRPr="003138ED">
        <w:rPr>
          <w:rFonts w:ascii="Times New Roman" w:eastAsia="Calibri" w:hAnsi="Times New Roman" w:cs="Times New Roman"/>
          <w:i/>
          <w:iCs/>
          <w:kern w:val="0"/>
          <w14:ligatures w14:val="none"/>
        </w:rPr>
        <w:t>see also McGucken v. Pub Ocean Ltd.</w:t>
      </w:r>
      <w:r w:rsidRPr="003138ED">
        <w:rPr>
          <w:rFonts w:ascii="Times New Roman" w:eastAsia="Calibri" w:hAnsi="Times New Roman" w:cs="Times New Roman"/>
          <w:kern w:val="0"/>
          <w14:ligatures w14:val="none"/>
        </w:rPr>
        <w:t xml:space="preserve">, 42 F.4th 1149, 1157 (9th Cir. 2022) (citing </w:t>
      </w:r>
      <w:r w:rsidRPr="003138ED">
        <w:rPr>
          <w:rFonts w:ascii="Times New Roman" w:eastAsia="Calibri" w:hAnsi="Times New Roman" w:cs="Times New Roman"/>
          <w:i/>
          <w:iCs/>
          <w:kern w:val="0"/>
          <w14:ligatures w14:val="none"/>
        </w:rPr>
        <w:t>id.</w:t>
      </w:r>
      <w:r w:rsidRPr="003138ED">
        <w:rPr>
          <w:rFonts w:ascii="Times New Roman" w:eastAsia="Calibri" w:hAnsi="Times New Roman" w:cs="Times New Roman"/>
          <w:kern w:val="0"/>
          <w14:ligatures w14:val="none"/>
        </w:rPr>
        <w:t xml:space="preserve">). “[T]he fair use of a copyrighted work . . . is not an infringement of copyright.” 17 U.S.C. § 107. However, this instruction may be necessary if the </w:t>
      </w:r>
      <w:proofErr w:type="gramStart"/>
      <w:r w:rsidRPr="003138ED">
        <w:rPr>
          <w:rFonts w:ascii="Times New Roman" w:eastAsia="Calibri" w:hAnsi="Times New Roman" w:cs="Times New Roman"/>
          <w:kern w:val="0"/>
          <w14:ligatures w14:val="none"/>
        </w:rPr>
        <w:t>parties</w:t>
      </w:r>
      <w:proofErr w:type="gramEnd"/>
      <w:r w:rsidRPr="003138ED">
        <w:rPr>
          <w:rFonts w:ascii="Times New Roman" w:eastAsia="Calibri" w:hAnsi="Times New Roman" w:cs="Times New Roman"/>
          <w:kern w:val="0"/>
          <w14:ligatures w14:val="none"/>
        </w:rPr>
        <w:t xml:space="preserve"> consent to the jury determining the fair use question.</w:t>
      </w:r>
    </w:p>
    <w:p w14:paraId="1C5B4C89" w14:textId="77777777" w:rsidR="003138ED" w:rsidRPr="003138ED" w:rsidRDefault="003138ED" w:rsidP="003138ED">
      <w:pPr>
        <w:spacing w:after="0" w:line="240" w:lineRule="auto"/>
        <w:rPr>
          <w:rFonts w:ascii="Times New Roman" w:eastAsia="Calibri" w:hAnsi="Times New Roman" w:cs="Times New Roman"/>
          <w:kern w:val="0"/>
          <w:u w:val="single"/>
          <w14:ligatures w14:val="none"/>
        </w:rPr>
      </w:pPr>
    </w:p>
    <w:p w14:paraId="7593D84B" w14:textId="77777777" w:rsidR="003138ED" w:rsidRPr="003138ED" w:rsidRDefault="003138ED" w:rsidP="003138ED">
      <w:pPr>
        <w:spacing w:after="0" w:line="240" w:lineRule="auto"/>
        <w:rPr>
          <w:rFonts w:ascii="Times New Roman" w:eastAsia="Calibri" w:hAnsi="Times New Roman" w:cs="Times New Roman"/>
          <w:kern w:val="0"/>
          <w:u w:val="single"/>
          <w14:ligatures w14:val="none"/>
        </w:rPr>
      </w:pPr>
      <w:r w:rsidRPr="003138ED">
        <w:rPr>
          <w:rFonts w:ascii="Times New Roman" w:eastAsia="Calibri" w:hAnsi="Times New Roman" w:cs="Times New Roman"/>
          <w:kern w:val="0"/>
          <w14:ligatures w14:val="none"/>
        </w:rPr>
        <w:tab/>
        <w:t xml:space="preserve">“The Supreme Court has held that “[f]air use is a mixed question of law and fact.” </w:t>
      </w:r>
      <w:r w:rsidRPr="003138ED">
        <w:rPr>
          <w:rFonts w:ascii="Times New Roman" w:eastAsia="Calibri" w:hAnsi="Times New Roman" w:cs="Times New Roman"/>
          <w:i/>
          <w:iCs/>
          <w:kern w:val="0"/>
          <w14:ligatures w14:val="none"/>
        </w:rPr>
        <w:t>Harper &amp; Row, Publishers, Inc. v. Nation Enters</w:t>
      </w:r>
      <w:r w:rsidRPr="003138ED">
        <w:rPr>
          <w:rFonts w:ascii="Times New Roman" w:eastAsia="Calibri" w:hAnsi="Times New Roman" w:cs="Times New Roman"/>
          <w:kern w:val="0"/>
          <w14:ligatures w14:val="none"/>
        </w:rPr>
        <w:t xml:space="preserve">, 471 U.S. 539, 560-69 (1985). But “the ultimate question whether . . . facts show[ ] a ‘fair use’ is a legal question for judges to decide de novo.”  </w:t>
      </w:r>
      <w:r w:rsidRPr="003138ED">
        <w:rPr>
          <w:rFonts w:ascii="Times New Roman" w:eastAsia="Calibri" w:hAnsi="Times New Roman" w:cs="Times New Roman"/>
          <w:i/>
          <w:iCs/>
          <w:kern w:val="0"/>
          <w14:ligatures w14:val="none"/>
        </w:rPr>
        <w:lastRenderedPageBreak/>
        <w:t>Google, LLC</w:t>
      </w:r>
      <w:r w:rsidRPr="003138ED">
        <w:rPr>
          <w:rFonts w:ascii="Times New Roman" w:eastAsia="Calibri" w:hAnsi="Times New Roman" w:cs="Times New Roman"/>
          <w:kern w:val="0"/>
          <w14:ligatures w14:val="none"/>
        </w:rPr>
        <w:t xml:space="preserve">, 593 U.S. at 2 (approving the Federal Circuit’s approach of “leaving factual determinations to the jury and reviewing the ultimate question, a legal question, de novo”). “Fair use may depend on factual findings, but the ultimate question of whether facts indicate fair use is legal in nature.” </w:t>
      </w:r>
      <w:r w:rsidRPr="003138ED">
        <w:rPr>
          <w:rFonts w:ascii="Times New Roman" w:eastAsia="Calibri" w:hAnsi="Times New Roman" w:cs="Times New Roman"/>
          <w:i/>
          <w:iCs/>
          <w:kern w:val="0"/>
          <w14:ligatures w14:val="none"/>
        </w:rPr>
        <w:t xml:space="preserve">De </w:t>
      </w:r>
      <w:proofErr w:type="spellStart"/>
      <w:r w:rsidRPr="003138ED">
        <w:rPr>
          <w:rFonts w:ascii="Times New Roman" w:eastAsia="Calibri" w:hAnsi="Times New Roman" w:cs="Times New Roman"/>
          <w:i/>
          <w:iCs/>
          <w:kern w:val="0"/>
          <w14:ligatures w14:val="none"/>
        </w:rPr>
        <w:t>Fontbrune</w:t>
      </w:r>
      <w:proofErr w:type="spellEnd"/>
      <w:r w:rsidRPr="003138ED">
        <w:rPr>
          <w:rFonts w:ascii="Times New Roman" w:eastAsia="Calibri" w:hAnsi="Times New Roman" w:cs="Times New Roman"/>
          <w:i/>
          <w:iCs/>
          <w:kern w:val="0"/>
          <w14:ligatures w14:val="none"/>
        </w:rPr>
        <w:t xml:space="preserve"> v. </w:t>
      </w:r>
      <w:proofErr w:type="spellStart"/>
      <w:r w:rsidRPr="003138ED">
        <w:rPr>
          <w:rFonts w:ascii="Times New Roman" w:eastAsia="Calibri" w:hAnsi="Times New Roman" w:cs="Times New Roman"/>
          <w:i/>
          <w:iCs/>
          <w:kern w:val="0"/>
          <w14:ligatures w14:val="none"/>
        </w:rPr>
        <w:t>Wofsy</w:t>
      </w:r>
      <w:proofErr w:type="spellEnd"/>
      <w:r w:rsidRPr="003138ED">
        <w:rPr>
          <w:rFonts w:ascii="Times New Roman" w:eastAsia="Calibri" w:hAnsi="Times New Roman" w:cs="Times New Roman"/>
          <w:kern w:val="0"/>
          <w14:ligatures w14:val="none"/>
        </w:rPr>
        <w:t xml:space="preserve">, </w:t>
      </w:r>
      <w:bookmarkStart w:id="3" w:name="_Hlk204077567"/>
      <w:r w:rsidRPr="003138ED">
        <w:rPr>
          <w:rFonts w:ascii="Times New Roman" w:eastAsia="Calibri" w:hAnsi="Times New Roman" w:cs="Times New Roman"/>
          <w:kern w:val="0"/>
          <w14:ligatures w14:val="none"/>
        </w:rPr>
        <w:t>39 F.4th 1214</w:t>
      </w:r>
      <w:bookmarkEnd w:id="3"/>
      <w:r w:rsidRPr="003138ED">
        <w:rPr>
          <w:rFonts w:ascii="Times New Roman" w:eastAsia="Calibri" w:hAnsi="Times New Roman" w:cs="Times New Roman"/>
          <w:kern w:val="0"/>
          <w14:ligatures w14:val="none"/>
        </w:rPr>
        <w:t xml:space="preserve">, 1226 (9th Cir. 2022) (citing </w:t>
      </w:r>
      <w:r w:rsidRPr="003138ED">
        <w:rPr>
          <w:rFonts w:ascii="Times New Roman" w:eastAsia="Calibri" w:hAnsi="Times New Roman" w:cs="Times New Roman"/>
          <w:i/>
          <w:iCs/>
          <w:kern w:val="0"/>
          <w14:ligatures w14:val="none"/>
        </w:rPr>
        <w:t>Google LLC</w:t>
      </w:r>
      <w:r w:rsidRPr="003138ED">
        <w:rPr>
          <w:rFonts w:ascii="Times New Roman" w:eastAsia="Calibri" w:hAnsi="Times New Roman" w:cs="Times New Roman"/>
          <w:kern w:val="0"/>
          <w14:ligatures w14:val="none"/>
        </w:rPr>
        <w:t xml:space="preserve">, 593 U.S. at 23-24); </w:t>
      </w:r>
      <w:r w:rsidRPr="003138ED">
        <w:rPr>
          <w:rFonts w:ascii="Times New Roman" w:eastAsia="Calibri" w:hAnsi="Times New Roman" w:cs="Times New Roman"/>
          <w:i/>
          <w:iCs/>
          <w:kern w:val="0"/>
          <w14:ligatures w14:val="none"/>
        </w:rPr>
        <w:t>McGucke</w:t>
      </w:r>
      <w:r w:rsidRPr="003138ED">
        <w:rPr>
          <w:rFonts w:ascii="Times New Roman" w:eastAsia="Calibri" w:hAnsi="Times New Roman" w:cs="Times New Roman"/>
          <w:kern w:val="0"/>
          <w14:ligatures w14:val="none"/>
        </w:rPr>
        <w:t xml:space="preserve">n, 42 F.4th at 1158 (noting that each of the statutory factors encompasses legal and factual questions, for example, how much of the copyrighted work was copied is a factual question (citation omitted)). “Fair use is . . . often resolved at summary judgment” because the parties “often dispute only the legal significance to be drawn from facts.” </w:t>
      </w:r>
      <w:r w:rsidRPr="003138ED">
        <w:rPr>
          <w:rFonts w:ascii="Times New Roman" w:eastAsia="Calibri" w:hAnsi="Times New Roman" w:cs="Times New Roman"/>
          <w:i/>
          <w:iCs/>
          <w:kern w:val="0"/>
          <w14:ligatures w14:val="none"/>
        </w:rPr>
        <w:t>McGucken</w:t>
      </w:r>
      <w:r w:rsidRPr="003138ED">
        <w:rPr>
          <w:rFonts w:ascii="Times New Roman" w:eastAsia="Calibri" w:hAnsi="Times New Roman" w:cs="Times New Roman"/>
          <w:kern w:val="0"/>
          <w14:ligatures w14:val="none"/>
        </w:rPr>
        <w:t>, 42 F.4th at 1158.</w:t>
      </w:r>
    </w:p>
    <w:p w14:paraId="43DD9BC0" w14:textId="77777777" w:rsidR="003138ED" w:rsidRPr="003138ED" w:rsidRDefault="003138ED" w:rsidP="003138ED">
      <w:pPr>
        <w:spacing w:after="0" w:line="240" w:lineRule="auto"/>
        <w:rPr>
          <w:rFonts w:ascii="Times New Roman" w:eastAsia="Calibri" w:hAnsi="Times New Roman" w:cs="Times New Roman"/>
          <w:kern w:val="0"/>
          <w:u w:val="single"/>
          <w14:ligatures w14:val="none"/>
        </w:rPr>
      </w:pPr>
    </w:p>
    <w:p w14:paraId="27ACDACF" w14:textId="77777777" w:rsidR="003138ED" w:rsidRPr="003138ED" w:rsidRDefault="003138ED" w:rsidP="003138ED">
      <w:pPr>
        <w:spacing w:after="0" w:line="240" w:lineRule="auto"/>
        <w:rPr>
          <w:rFonts w:ascii="Times New Roman" w:eastAsia="Calibri" w:hAnsi="Times New Roman" w:cs="Times New Roman"/>
          <w:kern w:val="0"/>
          <w14:ligatures w14:val="none"/>
        </w:rPr>
      </w:pPr>
      <w:r w:rsidRPr="003138ED">
        <w:rPr>
          <w:rFonts w:ascii="Times New Roman" w:eastAsia="Calibri" w:hAnsi="Times New Roman" w:cs="Times New Roman"/>
          <w:kern w:val="0"/>
          <w14:ligatures w14:val="none"/>
        </w:rPr>
        <w:tab/>
        <w:t xml:space="preserve">While fair use is generally an affirmative defense, </w:t>
      </w:r>
      <w:r w:rsidRPr="003138ED">
        <w:rPr>
          <w:rFonts w:ascii="Times New Roman" w:eastAsia="Calibri" w:hAnsi="Times New Roman" w:cs="Times New Roman"/>
          <w:i/>
          <w:iCs/>
          <w:kern w:val="0"/>
          <w14:ligatures w14:val="none"/>
        </w:rPr>
        <w:t>see</w:t>
      </w:r>
      <w:r w:rsidRPr="003138ED">
        <w:rPr>
          <w:rFonts w:ascii="Times New Roman" w:eastAsia="Calibri" w:hAnsi="Times New Roman" w:cs="Times New Roman"/>
          <w:kern w:val="0"/>
          <w14:ligatures w14:val="none"/>
        </w:rPr>
        <w:t xml:space="preserve"> </w:t>
      </w:r>
      <w:proofErr w:type="spellStart"/>
      <w:r w:rsidRPr="003138ED">
        <w:rPr>
          <w:rFonts w:ascii="Times New Roman" w:eastAsia="Calibri" w:hAnsi="Times New Roman" w:cs="Times New Roman"/>
          <w:i/>
          <w:iCs/>
          <w:kern w:val="0"/>
          <w14:ligatures w14:val="none"/>
        </w:rPr>
        <w:t>Tresóna</w:t>
      </w:r>
      <w:proofErr w:type="spellEnd"/>
      <w:r w:rsidRPr="003138ED">
        <w:rPr>
          <w:rFonts w:ascii="Times New Roman" w:eastAsia="Calibri" w:hAnsi="Times New Roman" w:cs="Times New Roman"/>
          <w:i/>
          <w:iCs/>
          <w:kern w:val="0"/>
          <w14:ligatures w14:val="none"/>
        </w:rPr>
        <w:t xml:space="preserve"> Multimedia, LLC v. Burbank High Sch. Music </w:t>
      </w:r>
      <w:proofErr w:type="spellStart"/>
      <w:r w:rsidRPr="003138ED">
        <w:rPr>
          <w:rFonts w:ascii="Times New Roman" w:eastAsia="Calibri" w:hAnsi="Times New Roman" w:cs="Times New Roman"/>
          <w:i/>
          <w:iCs/>
          <w:kern w:val="0"/>
          <w14:ligatures w14:val="none"/>
        </w:rPr>
        <w:t>Ass’n</w:t>
      </w:r>
      <w:proofErr w:type="spellEnd"/>
      <w:r w:rsidRPr="003138ED">
        <w:rPr>
          <w:rFonts w:ascii="Times New Roman" w:eastAsia="Calibri" w:hAnsi="Times New Roman" w:cs="Times New Roman"/>
          <w:kern w:val="0"/>
          <w14:ligatures w14:val="none"/>
        </w:rPr>
        <w:t xml:space="preserve">, 953 F.3d 638, 647-52 (9th Cir. 2020), it is treated differently in the context of “takedown cases under the Digital Millennium Copyright Act. </w:t>
      </w:r>
      <w:r w:rsidRPr="003138ED">
        <w:rPr>
          <w:rFonts w:ascii="Times New Roman" w:eastAsia="Calibri" w:hAnsi="Times New Roman" w:cs="Times New Roman"/>
          <w:i/>
          <w:iCs/>
          <w:kern w:val="0"/>
          <w14:ligatures w14:val="none"/>
        </w:rPr>
        <w:t>Lenz v. Universal Music Corp.</w:t>
      </w:r>
      <w:r w:rsidRPr="003138ED">
        <w:rPr>
          <w:rFonts w:ascii="Times New Roman" w:eastAsia="Calibri" w:hAnsi="Times New Roman" w:cs="Times New Roman"/>
          <w:kern w:val="0"/>
          <w14:ligatures w14:val="none"/>
        </w:rPr>
        <w:t xml:space="preserve">, 815 F.3d 1145, 1152-53 (9th Cir. 2016) (noting that in DMCA cases, the copyright holder must have a good faith belief that allegedly infringing use was not fair use before sending a “takedown” notice). </w:t>
      </w:r>
      <w:r w:rsidRPr="003138ED">
        <w:rPr>
          <w:rFonts w:ascii="Times New Roman" w:eastAsia="Calibri" w:hAnsi="Times New Roman" w:cs="Times New Roman"/>
          <w:i/>
          <w:iCs/>
          <w:kern w:val="0"/>
          <w14:ligatures w14:val="none"/>
        </w:rPr>
        <w:t>See</w:t>
      </w:r>
      <w:r w:rsidRPr="003138ED">
        <w:rPr>
          <w:rFonts w:ascii="Times New Roman" w:eastAsia="Calibri" w:hAnsi="Times New Roman" w:cs="Times New Roman"/>
          <w:kern w:val="0"/>
          <w14:ligatures w14:val="none"/>
        </w:rPr>
        <w:t xml:space="preserve"> Instruction 17.29 (Copyright—Affirmative Defense—Limitation on Liability for System Caching). “The fair use doctrine ‘permits and requires courts to avoid rigid application of the copyright statute when, on occasion, it would stifle the very creativity which that law is designed to foster.’” </w:t>
      </w:r>
      <w:r w:rsidRPr="003138ED">
        <w:rPr>
          <w:rFonts w:ascii="Times New Roman" w:eastAsia="Calibri" w:hAnsi="Times New Roman" w:cs="Times New Roman"/>
          <w:i/>
          <w:iCs/>
          <w:kern w:val="0"/>
          <w14:ligatures w14:val="none"/>
        </w:rPr>
        <w:t>Seltzer v. Green Day, Inc.</w:t>
      </w:r>
      <w:r w:rsidRPr="003138ED">
        <w:rPr>
          <w:rFonts w:ascii="Times New Roman" w:eastAsia="Calibri" w:hAnsi="Times New Roman" w:cs="Times New Roman"/>
          <w:kern w:val="0"/>
          <w14:ligatures w14:val="none"/>
        </w:rPr>
        <w:t xml:space="preserve">, 725 F.3d 1170, 1175 (9th Cir. 2013) (quoting </w:t>
      </w:r>
      <w:r w:rsidRPr="003138ED">
        <w:rPr>
          <w:rFonts w:ascii="Times New Roman" w:eastAsia="Calibri" w:hAnsi="Times New Roman" w:cs="Times New Roman"/>
          <w:i/>
          <w:iCs/>
          <w:kern w:val="0"/>
          <w14:ligatures w14:val="none"/>
        </w:rPr>
        <w:t>Campbell v. Acuff-Rose Music, Inc.</w:t>
      </w:r>
      <w:r w:rsidRPr="003138ED">
        <w:rPr>
          <w:rFonts w:ascii="Times New Roman" w:eastAsia="Calibri" w:hAnsi="Times New Roman" w:cs="Times New Roman"/>
          <w:kern w:val="0"/>
          <w14:ligatures w14:val="none"/>
        </w:rPr>
        <w:t>, 510 U.S. 569, 577 (1994)).</w:t>
      </w:r>
    </w:p>
    <w:p w14:paraId="2D530AAC" w14:textId="77777777" w:rsidR="003138ED" w:rsidRPr="003138ED" w:rsidRDefault="003138ED" w:rsidP="003138ED">
      <w:pPr>
        <w:spacing w:after="0" w:line="240" w:lineRule="auto"/>
        <w:rPr>
          <w:rFonts w:ascii="Times New Roman" w:eastAsia="Calibri" w:hAnsi="Times New Roman" w:cs="Times New Roman"/>
          <w:strike/>
          <w:kern w:val="0"/>
          <w14:ligatures w14:val="none"/>
        </w:rPr>
      </w:pPr>
    </w:p>
    <w:p w14:paraId="65CD294C" w14:textId="77777777" w:rsidR="003138ED" w:rsidRPr="003138ED" w:rsidRDefault="003138ED" w:rsidP="003138ED">
      <w:pPr>
        <w:spacing w:after="0" w:line="240" w:lineRule="auto"/>
        <w:rPr>
          <w:rFonts w:ascii="Times New Roman" w:eastAsia="Calibri" w:hAnsi="Times New Roman" w:cs="Times New Roman"/>
          <w:kern w:val="0"/>
          <w14:ligatures w14:val="none"/>
        </w:rPr>
      </w:pPr>
      <w:r w:rsidRPr="003138ED">
        <w:rPr>
          <w:rFonts w:ascii="Times New Roman" w:eastAsia="Calibri" w:hAnsi="Times New Roman" w:cs="Times New Roman"/>
          <w:kern w:val="0"/>
          <w14:ligatures w14:val="none"/>
        </w:rPr>
        <w:tab/>
        <w:t>The Supreme Court and the Ninth Circuit have applied the fair use doctrine and the statutory factors in the context of computer programs.</w:t>
      </w:r>
      <w:r w:rsidRPr="003138ED">
        <w:rPr>
          <w:rFonts w:ascii="Times New Roman" w:eastAsia="Calibri" w:hAnsi="Times New Roman" w:cs="Times New Roman"/>
          <w:i/>
          <w:iCs/>
          <w:kern w:val="0"/>
          <w14:ligatures w14:val="none"/>
        </w:rPr>
        <w:t xml:space="preserve"> See Google LLC</w:t>
      </w:r>
      <w:r w:rsidRPr="003138ED">
        <w:rPr>
          <w:rFonts w:ascii="Times New Roman" w:eastAsia="Calibri" w:hAnsi="Times New Roman" w:cs="Times New Roman"/>
          <w:kern w:val="0"/>
          <w14:ligatures w14:val="none"/>
        </w:rPr>
        <w:t>, 593 U.S. at 40 (holding that when “Google reimplemented a user interface, taking only what was needed to allow users to put their accrued talents to work in a new and transformative program, Google’s copying on Sun Java API was fair use of that material as a matter of law”); s</w:t>
      </w:r>
      <w:r w:rsidRPr="003138ED">
        <w:rPr>
          <w:rFonts w:ascii="Times New Roman" w:eastAsia="Calibri" w:hAnsi="Times New Roman" w:cs="Times New Roman"/>
          <w:i/>
          <w:iCs/>
          <w:kern w:val="0"/>
          <w14:ligatures w14:val="none"/>
        </w:rPr>
        <w:t>ee also Sony Computer Ent., Inc. v. Connectix Corp.</w:t>
      </w:r>
      <w:r w:rsidRPr="003138ED">
        <w:rPr>
          <w:rFonts w:ascii="Times New Roman" w:eastAsia="Calibri" w:hAnsi="Times New Roman" w:cs="Times New Roman"/>
          <w:kern w:val="0"/>
          <w14:ligatures w14:val="none"/>
        </w:rPr>
        <w:t>, 203 F.3d 596, 600 n1., 602-10 (9th Cir. 2000) (applying the § 107 fair use factors and holding that “Connectix’s reverse engineering of Sony’s BIOS extracted from a Sony PlayStation console purchased by Connectix engineers is protected as a fair use”).</w:t>
      </w:r>
    </w:p>
    <w:p w14:paraId="0AB62706" w14:textId="77777777" w:rsidR="003138ED" w:rsidRPr="003138ED" w:rsidRDefault="003138ED" w:rsidP="003138ED">
      <w:pPr>
        <w:spacing w:after="0" w:line="240" w:lineRule="auto"/>
        <w:rPr>
          <w:rFonts w:ascii="Times New Roman" w:eastAsia="Calibri" w:hAnsi="Times New Roman" w:cs="Times New Roman"/>
          <w:kern w:val="0"/>
          <w:u w:val="single"/>
          <w14:ligatures w14:val="none"/>
        </w:rPr>
      </w:pPr>
    </w:p>
    <w:p w14:paraId="0903BF90" w14:textId="77777777" w:rsidR="003138ED" w:rsidRPr="003138ED" w:rsidRDefault="003138ED" w:rsidP="003138ED">
      <w:pPr>
        <w:spacing w:after="0" w:line="240" w:lineRule="auto"/>
        <w:ind w:firstLine="720"/>
        <w:rPr>
          <w:rFonts w:ascii="Times New Roman" w:eastAsia="Calibri" w:hAnsi="Times New Roman" w:cs="Times New Roman"/>
          <w:kern w:val="0"/>
          <w14:ligatures w14:val="none"/>
        </w:rPr>
      </w:pPr>
      <w:r w:rsidRPr="003138ED">
        <w:rPr>
          <w:rFonts w:ascii="Times New Roman" w:eastAsia="Calibri" w:hAnsi="Times New Roman" w:cs="Times New Roman"/>
          <w:kern w:val="0"/>
          <w14:ligatures w14:val="none"/>
        </w:rPr>
        <w:t xml:space="preserve">As codified in the Copyright Act of 1976, the court must analyze [four] non-exhaustive factors in determining whether fair use applies.” </w:t>
      </w:r>
      <w:r w:rsidRPr="003138ED">
        <w:rPr>
          <w:rFonts w:ascii="Times New Roman" w:eastAsia="Calibri" w:hAnsi="Times New Roman" w:cs="Times New Roman"/>
          <w:i/>
          <w:iCs/>
          <w:kern w:val="0"/>
          <w14:ligatures w14:val="none"/>
        </w:rPr>
        <w:t>McGucken</w:t>
      </w:r>
      <w:r w:rsidRPr="003138ED">
        <w:rPr>
          <w:rFonts w:ascii="Times New Roman" w:eastAsia="Calibri" w:hAnsi="Times New Roman" w:cs="Times New Roman"/>
          <w:kern w:val="0"/>
          <w14:ligatures w14:val="none"/>
        </w:rPr>
        <w:t xml:space="preserve">, 42 F.4th at 1157; 17 U.S.C. § 107. The fifth numbered paragraph of this instruction reflects that the elements set forth in the statutory test of fair use in 17 U.S.C. § 107 are not exhaustive or exclusive. </w:t>
      </w:r>
      <w:r w:rsidRPr="003138ED">
        <w:rPr>
          <w:rFonts w:ascii="Times New Roman" w:eastAsia="Calibri" w:hAnsi="Times New Roman" w:cs="Times New Roman"/>
          <w:i/>
          <w:iCs/>
          <w:kern w:val="0"/>
          <w14:ligatures w14:val="none"/>
        </w:rPr>
        <w:t>See Elvis Presley Enters., Inc. v. Passport Video</w:t>
      </w:r>
      <w:r w:rsidRPr="003138ED">
        <w:rPr>
          <w:rFonts w:ascii="Times New Roman" w:eastAsia="Calibri" w:hAnsi="Times New Roman" w:cs="Times New Roman"/>
          <w:kern w:val="0"/>
          <w14:ligatures w14:val="none"/>
        </w:rPr>
        <w:t xml:space="preserve">, 349 F.3d 622, 627 (9th Cir. 2003) (“[W]e may not treat the [fair use] factors in isolation from one another.”), </w:t>
      </w:r>
      <w:r w:rsidRPr="003138ED">
        <w:rPr>
          <w:rFonts w:ascii="Times New Roman" w:eastAsia="Calibri" w:hAnsi="Times New Roman" w:cs="Times New Roman"/>
          <w:i/>
          <w:iCs/>
          <w:kern w:val="0"/>
          <w14:ligatures w14:val="none"/>
        </w:rPr>
        <w:t>overruling on other grounds recognized by Seltzer v. Green Day, Inc.,</w:t>
      </w:r>
      <w:r w:rsidRPr="003138ED">
        <w:rPr>
          <w:rFonts w:ascii="Times New Roman" w:eastAsia="Calibri" w:hAnsi="Times New Roman" w:cs="Times New Roman"/>
          <w:kern w:val="0"/>
          <w14:ligatures w14:val="none"/>
        </w:rPr>
        <w:t xml:space="preserve"> 725 F.3d 1170, 1177 (9th Cir. 2013); </w:t>
      </w:r>
      <w:r w:rsidRPr="003138ED">
        <w:rPr>
          <w:rFonts w:ascii="Times New Roman" w:eastAsia="Calibri" w:hAnsi="Times New Roman" w:cs="Times New Roman"/>
          <w:i/>
          <w:iCs/>
          <w:kern w:val="0"/>
          <w14:ligatures w14:val="none"/>
        </w:rPr>
        <w:t>Dr. Seuss Enters., L.P. v. Penguin Books USA, Inc.</w:t>
      </w:r>
      <w:r w:rsidRPr="003138ED">
        <w:rPr>
          <w:rFonts w:ascii="Times New Roman" w:eastAsia="Calibri" w:hAnsi="Times New Roman" w:cs="Times New Roman"/>
          <w:kern w:val="0"/>
          <w14:ligatures w14:val="none"/>
        </w:rPr>
        <w:t xml:space="preserve">, 109 F.3d 1394, 1399 (9th Cir. 1997). In appropriate circumstances, the court may enumerate additional factors. </w:t>
      </w:r>
      <w:r w:rsidRPr="003138ED">
        <w:rPr>
          <w:rFonts w:ascii="Times New Roman" w:eastAsia="Calibri" w:hAnsi="Times New Roman" w:cs="Times New Roman"/>
          <w:i/>
          <w:iCs/>
          <w:kern w:val="0"/>
          <w14:ligatures w14:val="none"/>
        </w:rPr>
        <w:t>See Campbell v. Acuff Rose Music, Inc</w:t>
      </w:r>
      <w:r w:rsidRPr="003138ED">
        <w:rPr>
          <w:rFonts w:ascii="Times New Roman" w:eastAsia="Calibri" w:hAnsi="Times New Roman" w:cs="Times New Roman"/>
          <w:kern w:val="0"/>
          <w14:ligatures w14:val="none"/>
        </w:rPr>
        <w:t>., 510 U.S. 569, 585 n.18 (1994) (considering defendant’s state of mind/good faith as factor).</w:t>
      </w:r>
    </w:p>
    <w:p w14:paraId="6FD8BB7F" w14:textId="77777777" w:rsidR="003138ED" w:rsidRPr="003138ED" w:rsidRDefault="003138ED" w:rsidP="003138ED">
      <w:pPr>
        <w:spacing w:after="0" w:line="240" w:lineRule="auto"/>
        <w:ind w:firstLine="720"/>
        <w:rPr>
          <w:rFonts w:ascii="Times New Roman" w:eastAsia="Calibri" w:hAnsi="Times New Roman" w:cs="Times New Roman"/>
          <w:kern w:val="0"/>
          <w:u w:val="single"/>
          <w14:ligatures w14:val="none"/>
        </w:rPr>
      </w:pPr>
    </w:p>
    <w:p w14:paraId="689DDC36" w14:textId="77777777" w:rsidR="003138ED" w:rsidRPr="003138ED" w:rsidRDefault="003138ED" w:rsidP="003138ED">
      <w:pPr>
        <w:spacing w:after="0" w:line="240" w:lineRule="auto"/>
        <w:rPr>
          <w:rFonts w:ascii="Times New Roman" w:eastAsia="Calibri" w:hAnsi="Times New Roman" w:cs="Times New Roman"/>
          <w:strike/>
          <w:kern w:val="0"/>
          <w14:ligatures w14:val="none"/>
        </w:rPr>
      </w:pPr>
      <w:r w:rsidRPr="003138ED">
        <w:rPr>
          <w:rFonts w:ascii="Times New Roman" w:eastAsia="Calibri" w:hAnsi="Times New Roman" w:cs="Times New Roman"/>
          <w:kern w:val="0"/>
          <w14:ligatures w14:val="none"/>
        </w:rPr>
        <w:tab/>
        <w:t xml:space="preserve">For an analysis of the fair use factors, </w:t>
      </w:r>
      <w:r w:rsidRPr="003138ED">
        <w:rPr>
          <w:rFonts w:ascii="Times New Roman" w:eastAsia="Calibri" w:hAnsi="Times New Roman" w:cs="Times New Roman"/>
          <w:i/>
          <w:iCs/>
          <w:kern w:val="0"/>
          <w14:ligatures w14:val="none"/>
        </w:rPr>
        <w:t>see</w:t>
      </w:r>
      <w:r w:rsidRPr="003138ED">
        <w:rPr>
          <w:rFonts w:ascii="Times New Roman" w:eastAsia="Calibri" w:hAnsi="Times New Roman" w:cs="Times New Roman"/>
          <w:kern w:val="0"/>
          <w14:ligatures w14:val="none"/>
        </w:rPr>
        <w:t xml:space="preserve"> </w:t>
      </w:r>
      <w:r w:rsidRPr="003138ED">
        <w:rPr>
          <w:rFonts w:ascii="Times New Roman" w:eastAsia="Calibri" w:hAnsi="Times New Roman" w:cs="Times New Roman"/>
          <w:i/>
          <w:iCs/>
          <w:kern w:val="0"/>
          <w14:ligatures w14:val="none"/>
        </w:rPr>
        <w:t>Google LLC</w:t>
      </w:r>
      <w:r w:rsidRPr="003138ED">
        <w:rPr>
          <w:rFonts w:ascii="Times New Roman" w:eastAsia="Calibri" w:hAnsi="Times New Roman" w:cs="Times New Roman"/>
          <w:kern w:val="0"/>
          <w14:ligatures w14:val="none"/>
        </w:rPr>
        <w:t xml:space="preserve">, 593 U.S at 26-37; </w:t>
      </w:r>
      <w:r w:rsidRPr="003138ED">
        <w:rPr>
          <w:rFonts w:ascii="Times New Roman" w:eastAsia="Calibri" w:hAnsi="Times New Roman" w:cs="Times New Roman"/>
          <w:i/>
          <w:iCs/>
          <w:kern w:val="0"/>
          <w14:ligatures w14:val="none"/>
        </w:rPr>
        <w:t>Campbel</w:t>
      </w:r>
      <w:r w:rsidRPr="003138ED">
        <w:rPr>
          <w:rFonts w:ascii="Times New Roman" w:eastAsia="Calibri" w:hAnsi="Times New Roman" w:cs="Times New Roman"/>
          <w:kern w:val="0"/>
          <w14:ligatures w14:val="none"/>
        </w:rPr>
        <w:t>, 510 U.S. at 578-94;</w:t>
      </w:r>
      <w:r w:rsidRPr="003138ED">
        <w:rPr>
          <w:rFonts w:ascii="Times New Roman" w:eastAsia="Calibri" w:hAnsi="Times New Roman" w:cs="Times New Roman"/>
          <w:i/>
          <w:iCs/>
          <w:kern w:val="0"/>
          <w14:ligatures w14:val="none"/>
        </w:rPr>
        <w:t xml:space="preserve"> Harper &amp; Row</w:t>
      </w:r>
      <w:r w:rsidRPr="003138ED">
        <w:rPr>
          <w:rFonts w:ascii="Times New Roman" w:eastAsia="Calibri" w:hAnsi="Times New Roman" w:cs="Times New Roman"/>
          <w:kern w:val="0"/>
          <w14:ligatures w14:val="none"/>
        </w:rPr>
        <w:t xml:space="preserve">, 471 U.S. at 560-69; </w:t>
      </w:r>
      <w:proofErr w:type="spellStart"/>
      <w:r w:rsidRPr="003138ED">
        <w:rPr>
          <w:rFonts w:ascii="Times New Roman" w:eastAsia="Calibri" w:hAnsi="Times New Roman" w:cs="Times New Roman"/>
          <w:i/>
          <w:iCs/>
          <w:kern w:val="0"/>
          <w14:ligatures w14:val="none"/>
        </w:rPr>
        <w:t>Tresóna</w:t>
      </w:r>
      <w:proofErr w:type="spellEnd"/>
      <w:r w:rsidRPr="003138ED">
        <w:rPr>
          <w:rFonts w:ascii="Times New Roman" w:eastAsia="Calibri" w:hAnsi="Times New Roman" w:cs="Times New Roman"/>
          <w:kern w:val="0"/>
          <w14:ligatures w14:val="none"/>
        </w:rPr>
        <w:t>, 953 F.3d at 647-52</w:t>
      </w:r>
    </w:p>
    <w:p w14:paraId="0B16052C" w14:textId="77777777" w:rsidR="003138ED" w:rsidRPr="003138ED" w:rsidRDefault="003138ED" w:rsidP="003138ED">
      <w:pPr>
        <w:spacing w:after="0" w:line="240" w:lineRule="auto"/>
        <w:rPr>
          <w:rFonts w:ascii="Times New Roman" w:eastAsia="Calibri" w:hAnsi="Times New Roman" w:cs="Times New Roman"/>
          <w:strike/>
          <w:kern w:val="0"/>
          <w14:ligatures w14:val="none"/>
        </w:rPr>
      </w:pPr>
    </w:p>
    <w:p w14:paraId="66D11EA2" w14:textId="77777777" w:rsidR="003138ED" w:rsidRPr="003138ED" w:rsidRDefault="003138ED" w:rsidP="003138ED">
      <w:pPr>
        <w:spacing w:after="0" w:line="240" w:lineRule="auto"/>
        <w:rPr>
          <w:rFonts w:ascii="Times New Roman" w:eastAsia="Calibri" w:hAnsi="Times New Roman" w:cs="Times New Roman"/>
          <w:strike/>
          <w:kern w:val="0"/>
          <w14:ligatures w14:val="none"/>
        </w:rPr>
      </w:pPr>
      <w:r w:rsidRPr="003138ED">
        <w:rPr>
          <w:rFonts w:ascii="Times New Roman" w:eastAsia="Calibri" w:hAnsi="Times New Roman" w:cs="Times New Roman"/>
          <w:kern w:val="0"/>
          <w14:ligatures w14:val="none"/>
        </w:rPr>
        <w:lastRenderedPageBreak/>
        <w:tab/>
        <w:t>The Supreme Court and the Ninth Circuit have considered the fair use factors in numerous cases. The following discussion includes a non-exhaustive list of cases that may help analyze the factors.</w:t>
      </w:r>
    </w:p>
    <w:p w14:paraId="7F9108C9" w14:textId="77777777" w:rsidR="003138ED" w:rsidRPr="003138ED" w:rsidRDefault="003138ED" w:rsidP="003138ED">
      <w:pPr>
        <w:spacing w:after="0" w:line="240" w:lineRule="auto"/>
        <w:rPr>
          <w:rFonts w:ascii="Times New Roman" w:eastAsia="Calibri" w:hAnsi="Times New Roman" w:cs="Times New Roman"/>
          <w:strike/>
          <w:kern w:val="0"/>
          <w14:ligatures w14:val="none"/>
        </w:rPr>
      </w:pPr>
    </w:p>
    <w:p w14:paraId="7A0B0259" w14:textId="77777777" w:rsidR="003138ED" w:rsidRPr="003138ED" w:rsidRDefault="003138ED" w:rsidP="003138ED">
      <w:pPr>
        <w:numPr>
          <w:ilvl w:val="0"/>
          <w:numId w:val="1"/>
        </w:numPr>
        <w:spacing w:after="0" w:line="240" w:lineRule="auto"/>
        <w:contextualSpacing/>
        <w:rPr>
          <w:rFonts w:ascii="Times New Roman" w:eastAsia="Calibri" w:hAnsi="Times New Roman" w:cs="Times New Roman"/>
          <w:kern w:val="0"/>
          <w14:ligatures w14:val="none"/>
        </w:rPr>
      </w:pPr>
      <w:r w:rsidRPr="003138ED">
        <w:rPr>
          <w:rFonts w:ascii="Times New Roman" w:eastAsia="Calibri" w:hAnsi="Times New Roman" w:cs="Times New Roman"/>
          <w:b/>
          <w:bCs/>
          <w:kern w:val="0"/>
          <w14:ligatures w14:val="none"/>
        </w:rPr>
        <w:t>Purpose and Character of the Defendant’s Use:</w:t>
      </w:r>
      <w:r w:rsidRPr="003138ED">
        <w:rPr>
          <w:rFonts w:ascii="Times New Roman" w:eastAsia="Calibri" w:hAnsi="Times New Roman" w:cs="Times New Roman"/>
          <w:kern w:val="0"/>
          <w14:ligatures w14:val="none"/>
        </w:rPr>
        <w:t xml:space="preserve"> The first factor focuses mainly on the degree to which the use is “transformative,” meaning “whether the new work merely supersedes the objects of the original creation, or instead adds something new, with a further purpose or different character, altering the first with new expression, meaning, or message.”</w:t>
      </w:r>
      <w:r w:rsidRPr="003138ED">
        <w:rPr>
          <w:rFonts w:ascii="Times New Roman" w:eastAsia="Calibri" w:hAnsi="Times New Roman" w:cs="Times New Roman"/>
          <w:i/>
          <w:iCs/>
          <w:kern w:val="0"/>
          <w14:ligatures w14:val="none"/>
        </w:rPr>
        <w:t xml:space="preserve"> Campbell</w:t>
      </w:r>
      <w:r w:rsidRPr="003138ED">
        <w:rPr>
          <w:rFonts w:ascii="Times New Roman" w:eastAsia="Calibri" w:hAnsi="Times New Roman" w:cs="Times New Roman"/>
          <w:kern w:val="0"/>
          <w14:ligatures w14:val="none"/>
        </w:rPr>
        <w:t xml:space="preserve">, 510 U.S. at 579 (internal quotation marks, brackets, and citations omitted); </w:t>
      </w:r>
      <w:r w:rsidRPr="003138ED">
        <w:rPr>
          <w:rFonts w:ascii="Times New Roman" w:eastAsia="Calibri" w:hAnsi="Times New Roman" w:cs="Times New Roman"/>
          <w:i/>
          <w:iCs/>
          <w:kern w:val="0"/>
          <w14:ligatures w14:val="none"/>
        </w:rPr>
        <w:t>see also Google LLC</w:t>
      </w:r>
      <w:r w:rsidRPr="003138ED">
        <w:rPr>
          <w:rFonts w:ascii="Times New Roman" w:eastAsia="Calibri" w:hAnsi="Times New Roman" w:cs="Times New Roman"/>
          <w:kern w:val="0"/>
          <w14:ligatures w14:val="none"/>
        </w:rPr>
        <w:t xml:space="preserve">, 593 U.S at 29 (explaining that “‘transformative’ . . . . describe[s] a copying use that adds something new and important”); </w:t>
      </w:r>
      <w:r w:rsidRPr="003138ED">
        <w:rPr>
          <w:rFonts w:ascii="Times New Roman" w:eastAsia="Calibri" w:hAnsi="Times New Roman" w:cs="Times New Roman"/>
          <w:i/>
          <w:iCs/>
          <w:kern w:val="0"/>
          <w14:ligatures w14:val="none"/>
        </w:rPr>
        <w:t xml:space="preserve">Dr. Seuss, Enters., L.P. v. </w:t>
      </w:r>
      <w:proofErr w:type="spellStart"/>
      <w:r w:rsidRPr="003138ED">
        <w:rPr>
          <w:rFonts w:ascii="Times New Roman" w:eastAsia="Calibri" w:hAnsi="Times New Roman" w:cs="Times New Roman"/>
          <w:i/>
          <w:iCs/>
          <w:kern w:val="0"/>
          <w14:ligatures w14:val="none"/>
        </w:rPr>
        <w:t>Comicmix</w:t>
      </w:r>
      <w:proofErr w:type="spellEnd"/>
      <w:r w:rsidRPr="003138ED">
        <w:rPr>
          <w:rFonts w:ascii="Times New Roman" w:eastAsia="Calibri" w:hAnsi="Times New Roman" w:cs="Times New Roman"/>
          <w:i/>
          <w:iCs/>
          <w:kern w:val="0"/>
          <w14:ligatures w14:val="none"/>
        </w:rPr>
        <w:t xml:space="preserve"> LLC</w:t>
      </w:r>
      <w:r w:rsidRPr="003138ED">
        <w:rPr>
          <w:rFonts w:ascii="Times New Roman" w:eastAsia="Calibri" w:hAnsi="Times New Roman" w:cs="Times New Roman"/>
          <w:kern w:val="0"/>
          <w14:ligatures w14:val="none"/>
        </w:rPr>
        <w:t xml:space="preserve">, 983 F.3d 443, 445 (9th Cir. 2020) (discussing the benchmarks of transformative use). “Adding informative captions does not necessarily transform copyrighted works.” </w:t>
      </w:r>
      <w:r w:rsidRPr="003138ED">
        <w:rPr>
          <w:rFonts w:ascii="Times New Roman" w:eastAsia="Calibri" w:hAnsi="Times New Roman" w:cs="Times New Roman"/>
          <w:i/>
          <w:iCs/>
          <w:kern w:val="0"/>
          <w14:ligatures w14:val="none"/>
        </w:rPr>
        <w:t xml:space="preserve">De </w:t>
      </w:r>
      <w:proofErr w:type="spellStart"/>
      <w:r w:rsidRPr="003138ED">
        <w:rPr>
          <w:rFonts w:ascii="Times New Roman" w:eastAsia="Calibri" w:hAnsi="Times New Roman" w:cs="Times New Roman"/>
          <w:i/>
          <w:iCs/>
          <w:kern w:val="0"/>
          <w14:ligatures w14:val="none"/>
        </w:rPr>
        <w:t>Fontbrune</w:t>
      </w:r>
      <w:proofErr w:type="spellEnd"/>
      <w:r w:rsidRPr="003138ED">
        <w:rPr>
          <w:rFonts w:ascii="Times New Roman" w:eastAsia="Calibri" w:hAnsi="Times New Roman" w:cs="Times New Roman"/>
          <w:kern w:val="0"/>
          <w14:ligatures w14:val="none"/>
        </w:rPr>
        <w:t xml:space="preserve">, 39 F. 4th at 1225; </w:t>
      </w:r>
      <w:r w:rsidRPr="003138ED">
        <w:rPr>
          <w:rFonts w:ascii="Times New Roman" w:eastAsia="Calibri" w:hAnsi="Times New Roman" w:cs="Times New Roman"/>
          <w:i/>
          <w:iCs/>
          <w:kern w:val="0"/>
          <w14:ligatures w14:val="none"/>
        </w:rPr>
        <w:t>see Monge v. Maya Magazines, Inc.,</w:t>
      </w:r>
      <w:r w:rsidRPr="003138ED">
        <w:rPr>
          <w:rFonts w:ascii="Times New Roman" w:eastAsia="Calibri" w:hAnsi="Times New Roman" w:cs="Times New Roman"/>
          <w:kern w:val="0"/>
          <w14:ligatures w14:val="none"/>
        </w:rPr>
        <w:t xml:space="preserve"> 688 F.3d 1164, 1176-77 (9th Cir. 2012) (concluding that publisher’s use of newsworthy wedding photographs of celebrities was not fair use because such use was, among other things, minimally transformative and indisputably commercial).</w:t>
      </w:r>
    </w:p>
    <w:p w14:paraId="13660FF0" w14:textId="77777777" w:rsidR="003138ED" w:rsidRPr="003138ED" w:rsidRDefault="003138ED" w:rsidP="003138ED">
      <w:pPr>
        <w:spacing w:after="0" w:line="240" w:lineRule="auto"/>
        <w:contextualSpacing/>
        <w:rPr>
          <w:rFonts w:ascii="Times New Roman" w:eastAsia="Calibri" w:hAnsi="Times New Roman" w:cs="Times New Roman"/>
          <w:kern w:val="0"/>
          <w:u w:val="single"/>
          <w14:ligatures w14:val="none"/>
        </w:rPr>
      </w:pPr>
    </w:p>
    <w:p w14:paraId="4D7E2A8D" w14:textId="77777777" w:rsidR="003138ED" w:rsidRPr="003138ED" w:rsidRDefault="003138ED" w:rsidP="003138ED">
      <w:pPr>
        <w:spacing w:after="0" w:line="240" w:lineRule="auto"/>
        <w:rPr>
          <w:rFonts w:ascii="Times New Roman" w:eastAsia="Calibri" w:hAnsi="Times New Roman" w:cs="Times New Roman"/>
          <w:kern w:val="0"/>
          <w14:ligatures w14:val="none"/>
        </w:rPr>
      </w:pPr>
      <w:r w:rsidRPr="003138ED">
        <w:rPr>
          <w:rFonts w:ascii="Times New Roman" w:eastAsia="Calibri" w:hAnsi="Times New Roman" w:cs="Times New Roman"/>
          <w:kern w:val="0"/>
          <w14:ligatures w14:val="none"/>
        </w:rPr>
        <w:tab/>
        <w:t xml:space="preserve">Parody which “needs to mimic an original to make its point,” </w:t>
      </w:r>
      <w:r w:rsidRPr="003138ED">
        <w:rPr>
          <w:rFonts w:ascii="Times New Roman" w:eastAsia="Calibri" w:hAnsi="Times New Roman" w:cs="Times New Roman"/>
          <w:i/>
          <w:iCs/>
          <w:kern w:val="0"/>
          <w14:ligatures w14:val="none"/>
        </w:rPr>
        <w:t>Campbell</w:t>
      </w:r>
      <w:r w:rsidRPr="003138ED">
        <w:rPr>
          <w:rFonts w:ascii="Times New Roman" w:eastAsia="Calibri" w:hAnsi="Times New Roman" w:cs="Times New Roman"/>
          <w:kern w:val="0"/>
          <w14:ligatures w14:val="none"/>
        </w:rPr>
        <w:t xml:space="preserve">, 510 U.S. at 580-81, is regularly held transformative. </w:t>
      </w:r>
      <w:r w:rsidRPr="003138ED">
        <w:rPr>
          <w:rFonts w:ascii="Times New Roman" w:eastAsia="Calibri" w:hAnsi="Times New Roman" w:cs="Times New Roman"/>
          <w:i/>
          <w:iCs/>
          <w:kern w:val="0"/>
          <w14:ligatures w14:val="none"/>
        </w:rPr>
        <w:t>See</w:t>
      </w:r>
      <w:r w:rsidRPr="003138ED">
        <w:rPr>
          <w:rFonts w:ascii="Times New Roman" w:eastAsia="Calibri" w:hAnsi="Times New Roman" w:cs="Times New Roman"/>
          <w:kern w:val="0"/>
          <w14:ligatures w14:val="none"/>
        </w:rPr>
        <w:t>,</w:t>
      </w:r>
      <w:r w:rsidRPr="003138ED">
        <w:rPr>
          <w:rFonts w:ascii="Times New Roman" w:eastAsia="Calibri" w:hAnsi="Times New Roman" w:cs="Times New Roman"/>
          <w:i/>
          <w:iCs/>
          <w:kern w:val="0"/>
          <w14:ligatures w14:val="none"/>
        </w:rPr>
        <w:t xml:space="preserve"> e.g.</w:t>
      </w:r>
      <w:r w:rsidRPr="003138ED">
        <w:rPr>
          <w:rFonts w:ascii="Times New Roman" w:eastAsia="Calibri" w:hAnsi="Times New Roman" w:cs="Times New Roman"/>
          <w:kern w:val="0"/>
          <w14:ligatures w14:val="none"/>
        </w:rPr>
        <w:t>,</w:t>
      </w:r>
      <w:r w:rsidRPr="003138ED">
        <w:rPr>
          <w:rFonts w:ascii="Times New Roman" w:eastAsia="Calibri" w:hAnsi="Times New Roman" w:cs="Times New Roman"/>
          <w:i/>
          <w:iCs/>
          <w:kern w:val="0"/>
          <w14:ligatures w14:val="none"/>
        </w:rPr>
        <w:t xml:space="preserve"> Mattel, Inc. v. Walking Mountain Prods.</w:t>
      </w:r>
      <w:r w:rsidRPr="003138ED">
        <w:rPr>
          <w:rFonts w:ascii="Times New Roman" w:eastAsia="Calibri" w:hAnsi="Times New Roman" w:cs="Times New Roman"/>
          <w:kern w:val="0"/>
          <w14:ligatures w14:val="none"/>
        </w:rPr>
        <w:t>, 353 F.3d 792, 803 (9th Cir. 2003) (concluding that “transform[</w:t>
      </w:r>
      <w:proofErr w:type="spellStart"/>
      <w:r w:rsidRPr="003138ED">
        <w:rPr>
          <w:rFonts w:ascii="Times New Roman" w:eastAsia="Calibri" w:hAnsi="Times New Roman" w:cs="Times New Roman"/>
          <w:kern w:val="0"/>
          <w14:ligatures w14:val="none"/>
        </w:rPr>
        <w:t>ative</w:t>
      </w:r>
      <w:proofErr w:type="spellEnd"/>
      <w:r w:rsidRPr="003138ED">
        <w:rPr>
          <w:rFonts w:ascii="Times New Roman" w:eastAsia="Calibri" w:hAnsi="Times New Roman" w:cs="Times New Roman"/>
          <w:kern w:val="0"/>
          <w14:ligatures w14:val="none"/>
        </w:rPr>
        <w:t xml:space="preserve">] associations” with the Barbie doll constituted parody); </w:t>
      </w:r>
      <w:r w:rsidRPr="003138ED">
        <w:rPr>
          <w:rFonts w:ascii="Times New Roman" w:eastAsia="Calibri" w:hAnsi="Times New Roman" w:cs="Times New Roman"/>
          <w:i/>
          <w:iCs/>
          <w:kern w:val="0"/>
          <w14:ligatures w14:val="none"/>
        </w:rPr>
        <w:t>but see Dr. Seuss</w:t>
      </w:r>
      <w:r w:rsidRPr="003138ED">
        <w:rPr>
          <w:rFonts w:ascii="Times New Roman" w:eastAsia="Calibri" w:hAnsi="Times New Roman" w:cs="Times New Roman"/>
          <w:kern w:val="0"/>
          <w14:ligatures w14:val="none"/>
        </w:rPr>
        <w:t xml:space="preserve">, 983 F.3d at 452-53 (holding that infringing use was not parody and not transformative because it did not critique or ridicule the original). </w:t>
      </w:r>
    </w:p>
    <w:p w14:paraId="7C333E2F" w14:textId="77777777" w:rsidR="003138ED" w:rsidRPr="003138ED" w:rsidRDefault="003138ED" w:rsidP="003138ED">
      <w:pPr>
        <w:spacing w:after="0" w:line="240" w:lineRule="auto"/>
        <w:contextualSpacing/>
        <w:rPr>
          <w:rFonts w:ascii="Times New Roman" w:eastAsia="Calibri" w:hAnsi="Times New Roman" w:cs="Times New Roman"/>
          <w:kern w:val="0"/>
          <w:u w:val="single"/>
          <w14:ligatures w14:val="none"/>
        </w:rPr>
      </w:pPr>
    </w:p>
    <w:p w14:paraId="54E57E8B" w14:textId="77777777" w:rsidR="003138ED" w:rsidRPr="003138ED" w:rsidRDefault="003138ED" w:rsidP="003138ED">
      <w:pPr>
        <w:spacing w:after="0" w:line="240" w:lineRule="auto"/>
        <w:rPr>
          <w:rFonts w:ascii="Times New Roman" w:eastAsia="Calibri" w:hAnsi="Times New Roman" w:cs="Times New Roman"/>
          <w:kern w:val="0"/>
          <w14:ligatures w14:val="none"/>
        </w:rPr>
      </w:pPr>
      <w:r w:rsidRPr="003138ED">
        <w:rPr>
          <w:rFonts w:ascii="Times New Roman" w:eastAsia="Calibri" w:hAnsi="Times New Roman" w:cs="Times New Roman"/>
          <w:kern w:val="0"/>
          <w14:ligatures w14:val="none"/>
        </w:rPr>
        <w:tab/>
        <w:t xml:space="preserve">The first factor also considers “whether the use is of a commercial nature or is for nonprofit educational purposes.” 17 U.S.C.§ 107(1). </w:t>
      </w:r>
      <w:bookmarkStart w:id="4" w:name="_Hlk153477330"/>
      <w:r w:rsidRPr="003138ED">
        <w:rPr>
          <w:rFonts w:ascii="Times New Roman" w:eastAsia="Calibri" w:hAnsi="Times New Roman" w:cs="Times New Roman"/>
          <w:kern w:val="0"/>
          <w14:ligatures w14:val="none"/>
        </w:rPr>
        <w:t xml:space="preserve">“If an original work and a secondary use share the same or highly similar purposes, and the secondary use is of a commercial nature, the first factor is likely to weight against fair use, absent some other justification for copying.” </w:t>
      </w:r>
      <w:r w:rsidRPr="003138ED">
        <w:rPr>
          <w:rFonts w:ascii="Times New Roman" w:eastAsia="Calibri" w:hAnsi="Times New Roman" w:cs="Times New Roman"/>
          <w:i/>
          <w:iCs/>
          <w:kern w:val="0"/>
          <w14:ligatures w14:val="none"/>
        </w:rPr>
        <w:t>Andy Warhol Found. for Visual Arts, Inc. v. Goldsmith,</w:t>
      </w:r>
      <w:r w:rsidRPr="003138ED">
        <w:rPr>
          <w:rFonts w:ascii="Times New Roman" w:eastAsia="Calibri" w:hAnsi="Times New Roman" w:cs="Times New Roman"/>
          <w:kern w:val="0"/>
          <w14:ligatures w14:val="none"/>
        </w:rPr>
        <w:t xml:space="preserve"> 598 U.S. 508, 540-42 (2023) (holding that commercial licensing to a magazine of an Andy Warhol silkscreen illustration derived from a copyrighted photo weighed against fair use under the “purpose and character” factor of the fair use defense). </w:t>
      </w:r>
      <w:bookmarkEnd w:id="4"/>
      <w:r w:rsidRPr="003138ED">
        <w:rPr>
          <w:rFonts w:ascii="Times New Roman" w:eastAsia="Calibri" w:hAnsi="Times New Roman" w:cs="Times New Roman"/>
          <w:kern w:val="0"/>
          <w14:ligatures w14:val="none"/>
        </w:rPr>
        <w:t xml:space="preserve">“The crux of the profit/nonprofit distinction is . . . whether the user stands to profit from exploitation of the copyrighted material without paying the customary price.” </w:t>
      </w:r>
      <w:r w:rsidRPr="003138ED">
        <w:rPr>
          <w:rFonts w:ascii="Times New Roman" w:eastAsia="Calibri" w:hAnsi="Times New Roman" w:cs="Times New Roman"/>
          <w:i/>
          <w:iCs/>
          <w:kern w:val="0"/>
          <w14:ligatures w14:val="none"/>
        </w:rPr>
        <w:t>Harper &amp; Row</w:t>
      </w:r>
      <w:r w:rsidRPr="003138ED">
        <w:rPr>
          <w:rFonts w:ascii="Times New Roman" w:eastAsia="Calibri" w:hAnsi="Times New Roman" w:cs="Times New Roman"/>
          <w:kern w:val="0"/>
          <w14:ligatures w14:val="none"/>
        </w:rPr>
        <w:t xml:space="preserve">, 471 U.S. at 562; </w:t>
      </w:r>
      <w:r w:rsidRPr="003138ED">
        <w:rPr>
          <w:rFonts w:ascii="Times New Roman" w:eastAsia="Calibri" w:hAnsi="Times New Roman" w:cs="Times New Roman"/>
          <w:i/>
          <w:iCs/>
          <w:kern w:val="0"/>
          <w14:ligatures w14:val="none"/>
        </w:rPr>
        <w:t>see A&amp;M Recs., Inc. v. Napster, Inc.</w:t>
      </w:r>
      <w:r w:rsidRPr="003138ED">
        <w:rPr>
          <w:rFonts w:ascii="Times New Roman" w:eastAsia="Calibri" w:hAnsi="Times New Roman" w:cs="Times New Roman"/>
          <w:kern w:val="0"/>
          <w14:ligatures w14:val="none"/>
        </w:rPr>
        <w:t xml:space="preserve">, 239 F.3d 1004, 1015 (9th Cir. 2001) (“Commercial use does not require direct financial benefit, such use “weighs against a finding of fair use but is not conclusive”). “For-profit news articles are generally considered commercial uses.” </w:t>
      </w:r>
      <w:r w:rsidRPr="003138ED">
        <w:rPr>
          <w:rFonts w:ascii="Times New Roman" w:eastAsia="Calibri" w:hAnsi="Times New Roman" w:cs="Times New Roman"/>
          <w:i/>
          <w:iCs/>
          <w:kern w:val="0"/>
          <w14:ligatures w14:val="none"/>
        </w:rPr>
        <w:t>McGucken</w:t>
      </w:r>
      <w:r w:rsidRPr="003138ED">
        <w:rPr>
          <w:rFonts w:ascii="Times New Roman" w:eastAsia="Calibri" w:hAnsi="Times New Roman" w:cs="Times New Roman"/>
          <w:kern w:val="0"/>
          <w14:ligatures w14:val="none"/>
        </w:rPr>
        <w:t>, 42 F.4th at 1158.</w:t>
      </w:r>
    </w:p>
    <w:p w14:paraId="033482E0" w14:textId="77777777" w:rsidR="003138ED" w:rsidRPr="003138ED" w:rsidRDefault="003138ED" w:rsidP="003138ED">
      <w:pPr>
        <w:spacing w:after="0" w:line="240" w:lineRule="auto"/>
        <w:rPr>
          <w:rFonts w:ascii="Times New Roman" w:eastAsia="Calibri" w:hAnsi="Times New Roman" w:cs="Times New Roman"/>
          <w:kern w:val="0"/>
          <w14:ligatures w14:val="none"/>
        </w:rPr>
      </w:pPr>
    </w:p>
    <w:p w14:paraId="108D7FD4" w14:textId="77777777" w:rsidR="003138ED" w:rsidRPr="003138ED" w:rsidRDefault="003138ED" w:rsidP="003138ED">
      <w:pPr>
        <w:spacing w:after="0" w:line="240" w:lineRule="auto"/>
        <w:rPr>
          <w:rFonts w:ascii="Times New Roman" w:eastAsia="Calibri" w:hAnsi="Times New Roman" w:cs="Times New Roman"/>
          <w:i/>
          <w:iCs/>
          <w:strike/>
          <w:kern w:val="0"/>
          <w14:ligatures w14:val="none"/>
        </w:rPr>
      </w:pPr>
      <w:r w:rsidRPr="003138ED">
        <w:rPr>
          <w:rFonts w:ascii="Times New Roman" w:eastAsia="Calibri" w:hAnsi="Times New Roman" w:cs="Times New Roman"/>
          <w:i/>
          <w:iCs/>
          <w:kern w:val="0"/>
          <w14:ligatures w14:val="none"/>
        </w:rPr>
        <w:tab/>
      </w:r>
      <w:r w:rsidRPr="003138ED">
        <w:rPr>
          <w:rFonts w:ascii="Times New Roman" w:eastAsia="Calibri" w:hAnsi="Times New Roman" w:cs="Times New Roman"/>
          <w:kern w:val="0"/>
          <w14:ligatures w14:val="none"/>
        </w:rPr>
        <w:t xml:space="preserve">Other cases that analyze the first factor include: </w:t>
      </w:r>
      <w:r w:rsidRPr="003138ED">
        <w:rPr>
          <w:rFonts w:ascii="Times New Roman" w:eastAsia="Calibri" w:hAnsi="Times New Roman" w:cs="Times New Roman"/>
          <w:i/>
          <w:iCs/>
          <w:kern w:val="0"/>
          <w14:ligatures w14:val="none"/>
        </w:rPr>
        <w:t>VHT, Inc. v. Zillow Grp., Inc.</w:t>
      </w:r>
      <w:r w:rsidRPr="003138ED">
        <w:rPr>
          <w:rFonts w:ascii="Times New Roman" w:eastAsia="Calibri" w:hAnsi="Times New Roman" w:cs="Times New Roman"/>
          <w:kern w:val="0"/>
          <w14:ligatures w14:val="none"/>
        </w:rPr>
        <w:t xml:space="preserve">, 918 F.3d 723, 743 (9th Cir. 2019) (concluding website’s tagging of photos for searchable functionality was not transformative); </w:t>
      </w:r>
      <w:proofErr w:type="spellStart"/>
      <w:r w:rsidRPr="003138ED">
        <w:rPr>
          <w:rFonts w:ascii="Times New Roman" w:eastAsia="Calibri" w:hAnsi="Times New Roman" w:cs="Times New Roman"/>
          <w:i/>
          <w:iCs/>
          <w:kern w:val="0"/>
          <w14:ligatures w14:val="none"/>
        </w:rPr>
        <w:t>Tresóna</w:t>
      </w:r>
      <w:proofErr w:type="spellEnd"/>
      <w:r w:rsidRPr="003138ED">
        <w:rPr>
          <w:rFonts w:ascii="Times New Roman" w:eastAsia="Calibri" w:hAnsi="Times New Roman" w:cs="Times New Roman"/>
          <w:kern w:val="0"/>
          <w14:ligatures w14:val="none"/>
        </w:rPr>
        <w:t>,</w:t>
      </w:r>
      <w:r w:rsidRPr="003138ED">
        <w:rPr>
          <w:rFonts w:ascii="Times New Roman" w:eastAsia="Calibri" w:hAnsi="Times New Roman" w:cs="Times New Roman"/>
          <w:i/>
          <w:iCs/>
          <w:kern w:val="0"/>
          <w14:ligatures w14:val="none"/>
        </w:rPr>
        <w:t xml:space="preserve"> </w:t>
      </w:r>
      <w:r w:rsidRPr="003138ED">
        <w:rPr>
          <w:rFonts w:ascii="Times New Roman" w:eastAsia="Calibri" w:hAnsi="Times New Roman" w:cs="Times New Roman"/>
          <w:kern w:val="0"/>
          <w14:ligatures w14:val="none"/>
        </w:rPr>
        <w:t xml:space="preserve">953 F.3d at 648 (observing that use of song in show was for “nonprofit educational purposes and the resulting work was transformative”) (internal quotation marks and citation omitted); </w:t>
      </w:r>
      <w:r w:rsidRPr="003138ED">
        <w:rPr>
          <w:rFonts w:ascii="Times New Roman" w:eastAsia="Calibri" w:hAnsi="Times New Roman" w:cs="Times New Roman"/>
          <w:i/>
          <w:iCs/>
          <w:kern w:val="0"/>
          <w14:ligatures w14:val="none"/>
        </w:rPr>
        <w:t xml:space="preserve">Disney Enters., Inc. v. </w:t>
      </w:r>
      <w:proofErr w:type="spellStart"/>
      <w:r w:rsidRPr="003138ED">
        <w:rPr>
          <w:rFonts w:ascii="Times New Roman" w:eastAsia="Calibri" w:hAnsi="Times New Roman" w:cs="Times New Roman"/>
          <w:i/>
          <w:iCs/>
          <w:kern w:val="0"/>
          <w14:ligatures w14:val="none"/>
        </w:rPr>
        <w:t>VidAngel</w:t>
      </w:r>
      <w:proofErr w:type="spellEnd"/>
      <w:r w:rsidRPr="003138ED">
        <w:rPr>
          <w:rFonts w:ascii="Times New Roman" w:eastAsia="Calibri" w:hAnsi="Times New Roman" w:cs="Times New Roman"/>
          <w:i/>
          <w:iCs/>
          <w:kern w:val="0"/>
          <w14:ligatures w14:val="none"/>
        </w:rPr>
        <w:t>, Inc.</w:t>
      </w:r>
      <w:r w:rsidRPr="003138ED">
        <w:rPr>
          <w:rFonts w:ascii="Times New Roman" w:eastAsia="Calibri" w:hAnsi="Times New Roman" w:cs="Times New Roman"/>
          <w:kern w:val="0"/>
          <w14:ligatures w14:val="none"/>
        </w:rPr>
        <w:t xml:space="preserve">, 869 F.3d 848 (9th Cir. 2017) (concluding that removing objectionable content from film for streaming to customers is not transformative); </w:t>
      </w:r>
      <w:r w:rsidRPr="003138ED">
        <w:rPr>
          <w:rFonts w:ascii="Times New Roman" w:eastAsia="Calibri" w:hAnsi="Times New Roman" w:cs="Times New Roman"/>
          <w:i/>
          <w:iCs/>
          <w:kern w:val="0"/>
          <w14:ligatures w14:val="none"/>
        </w:rPr>
        <w:t>Seltzer</w:t>
      </w:r>
      <w:r w:rsidRPr="003138ED">
        <w:rPr>
          <w:rFonts w:ascii="Times New Roman" w:eastAsia="Calibri" w:hAnsi="Times New Roman" w:cs="Times New Roman"/>
          <w:kern w:val="0"/>
          <w14:ligatures w14:val="none"/>
        </w:rPr>
        <w:t xml:space="preserve">, 725 F.3d at 1176-77 (holding that band’s use of artist’s original work in </w:t>
      </w:r>
      <w:r w:rsidRPr="003138ED">
        <w:rPr>
          <w:rFonts w:ascii="Times New Roman" w:eastAsia="Calibri" w:hAnsi="Times New Roman" w:cs="Times New Roman"/>
          <w:kern w:val="0"/>
          <w14:ligatures w14:val="none"/>
        </w:rPr>
        <w:lastRenderedPageBreak/>
        <w:t xml:space="preserve">its four-minute concert video backdrop transformative because original work took on new and different meaning in video); </w:t>
      </w:r>
      <w:r w:rsidRPr="003138ED">
        <w:rPr>
          <w:rFonts w:ascii="Times New Roman" w:eastAsia="Calibri" w:hAnsi="Times New Roman" w:cs="Times New Roman"/>
          <w:i/>
          <w:iCs/>
          <w:kern w:val="0"/>
          <w14:ligatures w14:val="none"/>
        </w:rPr>
        <w:t>SOFA Entm’t, Inc. v. Dodger Prods., Inc.</w:t>
      </w:r>
      <w:r w:rsidRPr="003138ED">
        <w:rPr>
          <w:rFonts w:ascii="Times New Roman" w:eastAsia="Calibri" w:hAnsi="Times New Roman" w:cs="Times New Roman"/>
          <w:kern w:val="0"/>
          <w14:ligatures w14:val="none"/>
        </w:rPr>
        <w:t>, 709 F.3d 1273, 1278 (9th Cir. 2013) (stating that use of seven- second television clip that introduces band as “biographical anchor” in musical about band supports finding of fair use);</w:t>
      </w:r>
      <w:r w:rsidRPr="003138ED">
        <w:rPr>
          <w:rFonts w:ascii="Times New Roman" w:eastAsia="Calibri" w:hAnsi="Times New Roman" w:cs="Times New Roman"/>
          <w:i/>
          <w:iCs/>
          <w:kern w:val="0"/>
          <w14:ligatures w14:val="none"/>
        </w:rPr>
        <w:t xml:space="preserve"> Elvis Presley Enters.</w:t>
      </w:r>
      <w:r w:rsidRPr="003138ED">
        <w:rPr>
          <w:rFonts w:ascii="Times New Roman" w:eastAsia="Calibri" w:hAnsi="Times New Roman" w:cs="Times New Roman"/>
          <w:kern w:val="0"/>
          <w14:ligatures w14:val="none"/>
        </w:rPr>
        <w:t>, 349 F.3d at 629 (“Courts have described new works as ‘transformative’ when works use copyrighted material for purposes distinct from the purpose of original material.”).</w:t>
      </w:r>
    </w:p>
    <w:p w14:paraId="1F6DA131" w14:textId="77777777" w:rsidR="003138ED" w:rsidRPr="003138ED" w:rsidRDefault="003138ED" w:rsidP="003138ED">
      <w:pPr>
        <w:spacing w:after="0" w:line="240" w:lineRule="auto"/>
        <w:rPr>
          <w:rFonts w:ascii="Times New Roman" w:eastAsia="Calibri" w:hAnsi="Times New Roman" w:cs="Times New Roman"/>
          <w:kern w:val="0"/>
          <w14:ligatures w14:val="none"/>
        </w:rPr>
      </w:pPr>
    </w:p>
    <w:p w14:paraId="4BCD8F9E" w14:textId="77777777" w:rsidR="003138ED" w:rsidRPr="003138ED" w:rsidRDefault="003138ED" w:rsidP="003138ED">
      <w:pPr>
        <w:spacing w:after="0" w:line="240" w:lineRule="auto"/>
        <w:rPr>
          <w:rFonts w:ascii="Times New Roman" w:eastAsia="Calibri" w:hAnsi="Times New Roman" w:cs="Times New Roman"/>
          <w:kern w:val="0"/>
          <w14:ligatures w14:val="none"/>
        </w:rPr>
      </w:pPr>
      <w:r w:rsidRPr="003138ED">
        <w:rPr>
          <w:rFonts w:ascii="Times New Roman" w:eastAsia="Calibri" w:hAnsi="Times New Roman" w:cs="Times New Roman"/>
          <w:b/>
          <w:bCs/>
          <w:kern w:val="0"/>
          <w14:ligatures w14:val="none"/>
        </w:rPr>
        <w:t>2.</w:t>
      </w:r>
      <w:r w:rsidRPr="003138ED">
        <w:rPr>
          <w:rFonts w:ascii="Times New Roman" w:eastAsia="Calibri" w:hAnsi="Times New Roman" w:cs="Times New Roman"/>
          <w:b/>
          <w:bCs/>
          <w:kern w:val="0"/>
          <w14:ligatures w14:val="none"/>
        </w:rPr>
        <w:tab/>
        <w:t xml:space="preserve">Nature of Copyrighted Work: </w:t>
      </w:r>
      <w:r w:rsidRPr="003138ED">
        <w:rPr>
          <w:rFonts w:ascii="Times New Roman" w:eastAsia="Calibri" w:hAnsi="Times New Roman" w:cs="Times New Roman"/>
          <w:kern w:val="0"/>
          <w14:ligatures w14:val="none"/>
        </w:rPr>
        <w:t xml:space="preserve">The second factor considers “the nature of the copyrighted work.” 17 U.S.C. § 107. This factor “typically has not been terribly significant in the overall fair use balancing.” </w:t>
      </w:r>
      <w:r w:rsidRPr="003138ED">
        <w:rPr>
          <w:rFonts w:ascii="Times New Roman" w:eastAsia="Calibri" w:hAnsi="Times New Roman" w:cs="Times New Roman"/>
          <w:i/>
          <w:iCs/>
          <w:kern w:val="0"/>
          <w14:ligatures w14:val="none"/>
        </w:rPr>
        <w:t>Dr. Seuss</w:t>
      </w:r>
      <w:r w:rsidRPr="003138ED">
        <w:rPr>
          <w:rFonts w:ascii="Times New Roman" w:eastAsia="Calibri" w:hAnsi="Times New Roman" w:cs="Times New Roman"/>
          <w:kern w:val="0"/>
          <w14:ligatures w14:val="none"/>
        </w:rPr>
        <w:t xml:space="preserve">, 983 F.3d at 456 (citation omitted); </w:t>
      </w:r>
      <w:r w:rsidRPr="003138ED">
        <w:rPr>
          <w:rFonts w:ascii="Times New Roman" w:eastAsia="Calibri" w:hAnsi="Times New Roman" w:cs="Times New Roman"/>
          <w:i/>
          <w:iCs/>
          <w:kern w:val="0"/>
          <w14:ligatures w14:val="none"/>
        </w:rPr>
        <w:t>see also</w:t>
      </w:r>
      <w:r w:rsidRPr="003138ED">
        <w:rPr>
          <w:rFonts w:ascii="Times New Roman" w:eastAsia="Calibri" w:hAnsi="Times New Roman" w:cs="Times New Roman"/>
          <w:kern w:val="0"/>
          <w14:ligatures w14:val="none"/>
        </w:rPr>
        <w:t xml:space="preserve"> </w:t>
      </w:r>
      <w:r w:rsidRPr="003138ED">
        <w:rPr>
          <w:rFonts w:ascii="Times New Roman" w:eastAsia="Calibri" w:hAnsi="Times New Roman" w:cs="Times New Roman"/>
          <w:i/>
          <w:iCs/>
          <w:kern w:val="0"/>
          <w14:ligatures w14:val="none"/>
        </w:rPr>
        <w:t>Campbell</w:t>
      </w:r>
      <w:r w:rsidRPr="003138ED">
        <w:rPr>
          <w:rFonts w:ascii="Times New Roman" w:eastAsia="Calibri" w:hAnsi="Times New Roman" w:cs="Times New Roman"/>
          <w:kern w:val="0"/>
          <w14:ligatures w14:val="none"/>
        </w:rPr>
        <w:t xml:space="preserve">, 510 U.S. at 586 (considering whether work is factual or creative in nature and whether it was published) (citation omitted); </w:t>
      </w:r>
      <w:r w:rsidRPr="003138ED">
        <w:rPr>
          <w:rFonts w:ascii="Times New Roman" w:eastAsia="Calibri" w:hAnsi="Times New Roman" w:cs="Times New Roman"/>
          <w:i/>
          <w:iCs/>
          <w:kern w:val="0"/>
          <w14:ligatures w14:val="none"/>
        </w:rPr>
        <w:t>Seltzer</w:t>
      </w:r>
      <w:r w:rsidRPr="003138ED">
        <w:rPr>
          <w:rFonts w:ascii="Times New Roman" w:eastAsia="Calibri" w:hAnsi="Times New Roman" w:cs="Times New Roman"/>
          <w:kern w:val="0"/>
          <w14:ligatures w14:val="none"/>
        </w:rPr>
        <w:t xml:space="preserve">, 725 F.3d at 1178 (noting that prior publication by original author tends to support finding of fair use); </w:t>
      </w:r>
      <w:r w:rsidRPr="003138ED">
        <w:rPr>
          <w:rFonts w:ascii="Times New Roman" w:eastAsia="Calibri" w:hAnsi="Times New Roman" w:cs="Times New Roman"/>
          <w:i/>
          <w:iCs/>
          <w:kern w:val="0"/>
          <w14:ligatures w14:val="none"/>
        </w:rPr>
        <w:t>Napster</w:t>
      </w:r>
      <w:r w:rsidRPr="003138ED">
        <w:rPr>
          <w:rFonts w:ascii="Times New Roman" w:eastAsia="Calibri" w:hAnsi="Times New Roman" w:cs="Times New Roman"/>
          <w:kern w:val="0"/>
          <w14:ligatures w14:val="none"/>
        </w:rPr>
        <w:t xml:space="preserve">, 239 F.3d at 1016 (stating that use of copyrighted creative work cuts against fair use finding); </w:t>
      </w:r>
      <w:r w:rsidRPr="003138ED">
        <w:rPr>
          <w:rFonts w:ascii="Times New Roman" w:eastAsia="Calibri" w:hAnsi="Times New Roman" w:cs="Times New Roman"/>
          <w:i/>
          <w:iCs/>
          <w:kern w:val="0"/>
          <w14:ligatures w14:val="none"/>
        </w:rPr>
        <w:t>Sony Computer Ent. Am. Inc. v.</w:t>
      </w:r>
      <w:r w:rsidRPr="003138ED">
        <w:rPr>
          <w:rFonts w:ascii="Times New Roman" w:eastAsia="Calibri" w:hAnsi="Times New Roman" w:cs="Times New Roman"/>
          <w:kern w:val="0"/>
          <w14:ligatures w14:val="none"/>
        </w:rPr>
        <w:t xml:space="preserve"> </w:t>
      </w:r>
      <w:r w:rsidRPr="003138ED">
        <w:rPr>
          <w:rFonts w:ascii="Times New Roman" w:eastAsia="Calibri" w:hAnsi="Times New Roman" w:cs="Times New Roman"/>
          <w:i/>
          <w:iCs/>
          <w:kern w:val="0"/>
          <w14:ligatures w14:val="none"/>
        </w:rPr>
        <w:t>Bleem</w:t>
      </w:r>
      <w:r w:rsidRPr="003138ED">
        <w:rPr>
          <w:rFonts w:ascii="Times New Roman" w:eastAsia="Calibri" w:hAnsi="Times New Roman" w:cs="Times New Roman"/>
          <w:kern w:val="0"/>
          <w14:ligatures w14:val="none"/>
        </w:rPr>
        <w:t>, 214 F.3d at 1028 (explaining that nature of copyrighted work is most relevant when “the original material and the copy are of a different nature”).</w:t>
      </w:r>
    </w:p>
    <w:p w14:paraId="280B90CB" w14:textId="77777777" w:rsidR="003138ED" w:rsidRPr="003138ED" w:rsidRDefault="003138ED" w:rsidP="003138ED">
      <w:pPr>
        <w:spacing w:after="0" w:line="240" w:lineRule="auto"/>
        <w:rPr>
          <w:rFonts w:ascii="Times New Roman" w:eastAsia="Calibri" w:hAnsi="Times New Roman" w:cs="Times New Roman"/>
          <w:kern w:val="0"/>
          <w14:ligatures w14:val="none"/>
        </w:rPr>
      </w:pPr>
    </w:p>
    <w:p w14:paraId="5EBE80E7" w14:textId="77777777" w:rsidR="003138ED" w:rsidRPr="003138ED" w:rsidRDefault="003138ED" w:rsidP="003138ED">
      <w:pPr>
        <w:spacing w:after="0" w:line="240" w:lineRule="auto"/>
        <w:rPr>
          <w:rFonts w:ascii="Times New Roman" w:eastAsia="Calibri" w:hAnsi="Times New Roman" w:cs="Times New Roman"/>
          <w:kern w:val="0"/>
          <w14:ligatures w14:val="none"/>
        </w:rPr>
      </w:pPr>
      <w:r w:rsidRPr="003138ED">
        <w:rPr>
          <w:rFonts w:ascii="Times New Roman" w:eastAsia="Calibri" w:hAnsi="Times New Roman" w:cs="Times New Roman"/>
          <w:b/>
          <w:bCs/>
          <w:kern w:val="0"/>
          <w14:ligatures w14:val="none"/>
        </w:rPr>
        <w:t>3.</w:t>
      </w:r>
      <w:r w:rsidRPr="003138ED">
        <w:rPr>
          <w:rFonts w:ascii="Times New Roman" w:eastAsia="Calibri" w:hAnsi="Times New Roman" w:cs="Times New Roman"/>
          <w:b/>
          <w:bCs/>
          <w:kern w:val="0"/>
          <w14:ligatures w14:val="none"/>
        </w:rPr>
        <w:tab/>
        <w:t>Amount and Substantiality of the Portion Used:</w:t>
      </w:r>
      <w:r w:rsidRPr="003138ED">
        <w:rPr>
          <w:rFonts w:ascii="Times New Roman" w:eastAsia="Calibri" w:hAnsi="Times New Roman" w:cs="Times New Roman"/>
          <w:kern w:val="0"/>
          <w14:ligatures w14:val="none"/>
        </w:rPr>
        <w:t xml:space="preserve"> The third factor concerns “the amount and substantiality of the portion used in relation to the copyrighted work as a whole.” 17 U.S.C. § 107(3). This factor considers “the quantitative amount and the qualitative value of the original work used in relation to the justification for that use.” </w:t>
      </w:r>
      <w:r w:rsidRPr="003138ED">
        <w:rPr>
          <w:rFonts w:ascii="Times New Roman" w:eastAsia="Calibri" w:hAnsi="Times New Roman" w:cs="Times New Roman"/>
          <w:i/>
          <w:iCs/>
          <w:kern w:val="0"/>
          <w14:ligatures w14:val="none"/>
        </w:rPr>
        <w:t>Dr. Seuss</w:t>
      </w:r>
      <w:r w:rsidRPr="003138ED">
        <w:rPr>
          <w:rFonts w:ascii="Times New Roman" w:eastAsia="Calibri" w:hAnsi="Times New Roman" w:cs="Times New Roman"/>
          <w:kern w:val="0"/>
          <w14:ligatures w14:val="none"/>
        </w:rPr>
        <w:t xml:space="preserve">, 983 F.3d at 456; </w:t>
      </w:r>
      <w:r w:rsidRPr="003138ED">
        <w:rPr>
          <w:rFonts w:ascii="Times New Roman" w:eastAsia="Calibri" w:hAnsi="Times New Roman" w:cs="Times New Roman"/>
          <w:i/>
          <w:iCs/>
          <w:kern w:val="0"/>
          <w14:ligatures w14:val="none"/>
        </w:rPr>
        <w:t>see also</w:t>
      </w:r>
      <w:r w:rsidRPr="003138ED">
        <w:rPr>
          <w:rFonts w:ascii="Times New Roman" w:eastAsia="Calibri" w:hAnsi="Times New Roman" w:cs="Times New Roman"/>
          <w:kern w:val="0"/>
          <w14:ligatures w14:val="none"/>
        </w:rPr>
        <w:t xml:space="preserve"> </w:t>
      </w:r>
      <w:r w:rsidRPr="003138ED">
        <w:rPr>
          <w:rFonts w:ascii="Times New Roman" w:eastAsia="Calibri" w:hAnsi="Times New Roman" w:cs="Times New Roman"/>
          <w:i/>
          <w:iCs/>
          <w:kern w:val="0"/>
          <w14:ligatures w14:val="none"/>
        </w:rPr>
        <w:t>Campbell</w:t>
      </w:r>
      <w:r w:rsidRPr="003138ED">
        <w:rPr>
          <w:rFonts w:ascii="Times New Roman" w:eastAsia="Calibri" w:hAnsi="Times New Roman" w:cs="Times New Roman"/>
          <w:kern w:val="0"/>
          <w14:ligatures w14:val="none"/>
        </w:rPr>
        <w:t xml:space="preserve">, 510 U.S. at 586-88 (explaining importance of quantity of materials used, as well as their quality and importance). “This factor weighs against fair use if the infringer published ‘the heart’ of an ‘individual copyrighted picture’ without justification.” </w:t>
      </w:r>
      <w:r w:rsidRPr="003138ED">
        <w:rPr>
          <w:rFonts w:ascii="Times New Roman" w:eastAsia="Calibri" w:hAnsi="Times New Roman" w:cs="Times New Roman"/>
          <w:i/>
          <w:iCs/>
          <w:kern w:val="0"/>
          <w14:ligatures w14:val="none"/>
        </w:rPr>
        <w:t>McGucken</w:t>
      </w:r>
      <w:r w:rsidRPr="003138ED">
        <w:rPr>
          <w:rFonts w:ascii="Times New Roman" w:eastAsia="Calibri" w:hAnsi="Times New Roman" w:cs="Times New Roman"/>
          <w:kern w:val="0"/>
          <w14:ligatures w14:val="none"/>
        </w:rPr>
        <w:t xml:space="preserve">, 42 F.4d at 1162 (quoting </w:t>
      </w:r>
      <w:r w:rsidRPr="003138ED">
        <w:rPr>
          <w:rFonts w:ascii="Times New Roman" w:eastAsia="Calibri" w:hAnsi="Times New Roman" w:cs="Times New Roman"/>
          <w:i/>
          <w:iCs/>
          <w:kern w:val="0"/>
          <w14:ligatures w14:val="none"/>
        </w:rPr>
        <w:t>Monge</w:t>
      </w:r>
      <w:r w:rsidRPr="003138ED">
        <w:rPr>
          <w:rFonts w:ascii="Times New Roman" w:eastAsia="Calibri" w:hAnsi="Times New Roman" w:cs="Times New Roman"/>
          <w:kern w:val="0"/>
          <w14:ligatures w14:val="none"/>
        </w:rPr>
        <w:t xml:space="preserve">, 688 F.3d at 1178); </w:t>
      </w:r>
      <w:r w:rsidRPr="003138ED">
        <w:rPr>
          <w:rFonts w:ascii="Times New Roman" w:eastAsia="Calibri" w:hAnsi="Times New Roman" w:cs="Times New Roman"/>
          <w:i/>
          <w:iCs/>
          <w:kern w:val="0"/>
          <w14:ligatures w14:val="none"/>
        </w:rPr>
        <w:t>see</w:t>
      </w:r>
      <w:r w:rsidRPr="003138ED">
        <w:rPr>
          <w:rFonts w:ascii="Times New Roman" w:eastAsia="Calibri" w:hAnsi="Times New Roman" w:cs="Times New Roman"/>
          <w:kern w:val="0"/>
          <w14:ligatures w14:val="none"/>
        </w:rPr>
        <w:t xml:space="preserve"> </w:t>
      </w:r>
      <w:proofErr w:type="spellStart"/>
      <w:r w:rsidRPr="003138ED">
        <w:rPr>
          <w:rFonts w:ascii="Times New Roman" w:eastAsia="Calibri" w:hAnsi="Times New Roman" w:cs="Times New Roman"/>
          <w:i/>
          <w:iCs/>
          <w:kern w:val="0"/>
          <w14:ligatures w14:val="none"/>
        </w:rPr>
        <w:t>Tresóna</w:t>
      </w:r>
      <w:proofErr w:type="spellEnd"/>
      <w:r w:rsidRPr="003138ED">
        <w:rPr>
          <w:rFonts w:ascii="Times New Roman" w:eastAsia="Calibri" w:hAnsi="Times New Roman" w:cs="Times New Roman"/>
          <w:i/>
          <w:iCs/>
          <w:kern w:val="0"/>
          <w14:ligatures w14:val="none"/>
        </w:rPr>
        <w:t xml:space="preserve">, </w:t>
      </w:r>
      <w:r w:rsidRPr="003138ED">
        <w:rPr>
          <w:rFonts w:ascii="Times New Roman" w:eastAsia="Calibri" w:hAnsi="Times New Roman" w:cs="Times New Roman"/>
          <w:kern w:val="0"/>
          <w14:ligatures w14:val="none"/>
        </w:rPr>
        <w:t xml:space="preserve">953 F.3d at 651 (noting that although “qualitatively significant” portion of original work was used, because of transformative nature of new material, this factor “did not weigh against fair use”); </w:t>
      </w:r>
      <w:r w:rsidRPr="003138ED">
        <w:rPr>
          <w:rFonts w:ascii="Times New Roman" w:eastAsia="Calibri" w:hAnsi="Times New Roman" w:cs="Times New Roman"/>
          <w:i/>
          <w:iCs/>
          <w:kern w:val="0"/>
          <w14:ligatures w14:val="none"/>
        </w:rPr>
        <w:t>Seltzer</w:t>
      </w:r>
      <w:r w:rsidRPr="003138ED">
        <w:rPr>
          <w:rFonts w:ascii="Times New Roman" w:eastAsia="Calibri" w:hAnsi="Times New Roman" w:cs="Times New Roman"/>
          <w:kern w:val="0"/>
          <w14:ligatures w14:val="none"/>
        </w:rPr>
        <w:t xml:space="preserve">, 725 F.3d at 1178-79 (addressing when original works are copied in full because they are “not meaningfully divisible”); </w:t>
      </w:r>
      <w:r w:rsidRPr="003138ED">
        <w:rPr>
          <w:rFonts w:ascii="Times New Roman" w:eastAsia="Calibri" w:hAnsi="Times New Roman" w:cs="Times New Roman"/>
          <w:i/>
          <w:iCs/>
          <w:kern w:val="0"/>
          <w14:ligatures w14:val="none"/>
        </w:rPr>
        <w:t>Bleem</w:t>
      </w:r>
      <w:r w:rsidRPr="003138ED">
        <w:rPr>
          <w:rFonts w:ascii="Times New Roman" w:eastAsia="Calibri" w:hAnsi="Times New Roman" w:cs="Times New Roman"/>
          <w:kern w:val="0"/>
          <w14:ligatures w14:val="none"/>
        </w:rPr>
        <w:t>, 214 F.3d at 1028 (noting that fair use finding is not likely when there is high degree of copying and “essence” of copyrighted work and copy are similar).</w:t>
      </w:r>
    </w:p>
    <w:p w14:paraId="4D6410DC" w14:textId="77777777" w:rsidR="003138ED" w:rsidRPr="003138ED" w:rsidRDefault="003138ED" w:rsidP="003138ED">
      <w:pPr>
        <w:spacing w:after="0" w:line="240" w:lineRule="auto"/>
        <w:rPr>
          <w:rFonts w:ascii="Times New Roman" w:eastAsia="Calibri" w:hAnsi="Times New Roman" w:cs="Times New Roman"/>
          <w:kern w:val="0"/>
          <w14:ligatures w14:val="none"/>
        </w:rPr>
      </w:pPr>
    </w:p>
    <w:p w14:paraId="12E793D4" w14:textId="77777777" w:rsidR="003138ED" w:rsidRPr="003138ED" w:rsidRDefault="003138ED" w:rsidP="003138ED">
      <w:pPr>
        <w:spacing w:after="0" w:line="240" w:lineRule="auto"/>
        <w:rPr>
          <w:rFonts w:ascii="Times New Roman" w:eastAsia="Calibri" w:hAnsi="Times New Roman" w:cs="Times New Roman"/>
          <w:kern w:val="0"/>
          <w14:ligatures w14:val="none"/>
        </w:rPr>
      </w:pPr>
      <w:r w:rsidRPr="003138ED">
        <w:rPr>
          <w:rFonts w:ascii="Times New Roman" w:eastAsia="Calibri" w:hAnsi="Times New Roman" w:cs="Times New Roman"/>
          <w:b/>
          <w:bCs/>
          <w:kern w:val="0"/>
          <w14:ligatures w14:val="none"/>
        </w:rPr>
        <w:t>4.</w:t>
      </w:r>
      <w:r w:rsidRPr="003138ED">
        <w:rPr>
          <w:rFonts w:ascii="Times New Roman" w:eastAsia="Calibri" w:hAnsi="Times New Roman" w:cs="Times New Roman"/>
          <w:kern w:val="0"/>
          <w14:ligatures w14:val="none"/>
        </w:rPr>
        <w:tab/>
      </w:r>
      <w:r w:rsidRPr="003138ED">
        <w:rPr>
          <w:rFonts w:ascii="Times New Roman" w:eastAsia="Calibri" w:hAnsi="Times New Roman" w:cs="Times New Roman"/>
          <w:b/>
          <w:bCs/>
          <w:kern w:val="0"/>
          <w14:ligatures w14:val="none"/>
        </w:rPr>
        <w:t>The Market</w:t>
      </w:r>
      <w:r w:rsidRPr="003138ED">
        <w:rPr>
          <w:rFonts w:ascii="Times New Roman" w:eastAsia="Calibri" w:hAnsi="Times New Roman" w:cs="Times New Roman"/>
          <w:kern w:val="0"/>
          <w14:ligatures w14:val="none"/>
        </w:rPr>
        <w:t xml:space="preserve"> </w:t>
      </w:r>
      <w:r w:rsidRPr="003138ED">
        <w:rPr>
          <w:rFonts w:ascii="Times New Roman" w:eastAsia="Calibri" w:hAnsi="Times New Roman" w:cs="Times New Roman"/>
          <w:b/>
          <w:bCs/>
          <w:kern w:val="0"/>
          <w14:ligatures w14:val="none"/>
        </w:rPr>
        <w:t>Effect:</w:t>
      </w:r>
      <w:r w:rsidRPr="003138ED">
        <w:rPr>
          <w:rFonts w:ascii="Times New Roman" w:eastAsia="Calibri" w:hAnsi="Times New Roman" w:cs="Times New Roman"/>
          <w:kern w:val="0"/>
          <w14:ligatures w14:val="none"/>
        </w:rPr>
        <w:t xml:space="preserve"> The fourth factor concerns the “effect of the use upon the potential market for or the value of the copyrighted work.” 17 U.S.C. § 107(4). This factor includes (1) the “extent of the market harm caused by the particular actions of the alleged infringer,” and (2) “whether unrestricted and widespread conduct of the sort engaged in by the defendant would result in a substantially adverse impact on the potential market for the original” and the “market for the derivative works.” </w:t>
      </w:r>
      <w:r w:rsidRPr="003138ED">
        <w:rPr>
          <w:rFonts w:ascii="Times New Roman" w:eastAsia="Calibri" w:hAnsi="Times New Roman" w:cs="Times New Roman"/>
          <w:i/>
          <w:iCs/>
          <w:kern w:val="0"/>
          <w14:ligatures w14:val="none"/>
        </w:rPr>
        <w:t>Campbell</w:t>
      </w:r>
      <w:r w:rsidRPr="003138ED">
        <w:rPr>
          <w:rFonts w:ascii="Times New Roman" w:eastAsia="Calibri" w:hAnsi="Times New Roman" w:cs="Times New Roman"/>
          <w:kern w:val="0"/>
          <w14:ligatures w14:val="none"/>
        </w:rPr>
        <w:t xml:space="preserve">, 510 U.S. at 590-91 (citations omitted). </w:t>
      </w:r>
    </w:p>
    <w:p w14:paraId="591EDF91" w14:textId="77777777" w:rsidR="003138ED" w:rsidRPr="003138ED" w:rsidRDefault="003138ED" w:rsidP="003138ED">
      <w:pPr>
        <w:spacing w:after="0" w:line="240" w:lineRule="auto"/>
        <w:rPr>
          <w:rFonts w:ascii="Times New Roman" w:eastAsia="Calibri" w:hAnsi="Times New Roman" w:cs="Times New Roman"/>
          <w:kern w:val="0"/>
          <w14:ligatures w14:val="none"/>
        </w:rPr>
      </w:pPr>
    </w:p>
    <w:p w14:paraId="10739652" w14:textId="77777777" w:rsidR="003138ED" w:rsidRPr="003138ED" w:rsidRDefault="003138ED" w:rsidP="003138ED">
      <w:pPr>
        <w:spacing w:after="0" w:line="240" w:lineRule="auto"/>
        <w:rPr>
          <w:rFonts w:ascii="Times New Roman" w:eastAsia="Calibri" w:hAnsi="Times New Roman" w:cs="Times New Roman"/>
          <w:kern w:val="0"/>
          <w14:ligatures w14:val="none"/>
        </w:rPr>
      </w:pPr>
      <w:r w:rsidRPr="003138ED">
        <w:rPr>
          <w:rFonts w:ascii="Times New Roman" w:eastAsia="Calibri" w:hAnsi="Times New Roman" w:cs="Times New Roman"/>
          <w:kern w:val="0"/>
          <w14:ligatures w14:val="none"/>
        </w:rPr>
        <w:tab/>
      </w:r>
      <w:r w:rsidRPr="003138ED">
        <w:rPr>
          <w:rFonts w:ascii="Times New Roman" w:eastAsia="Calibri" w:hAnsi="Times New Roman" w:cs="Times New Roman"/>
          <w:w w:val="105"/>
          <w:kern w:val="0"/>
          <w14:ligatures w14:val="none"/>
        </w:rPr>
        <w:t>The effect</w:t>
      </w:r>
      <w:r w:rsidRPr="003138ED">
        <w:rPr>
          <w:rFonts w:ascii="Times New Roman" w:eastAsia="Calibri" w:hAnsi="Times New Roman" w:cs="Times New Roman"/>
          <w:spacing w:val="-5"/>
          <w:w w:val="105"/>
          <w:kern w:val="0"/>
          <w14:ligatures w14:val="none"/>
        </w:rPr>
        <w:t xml:space="preserve"> </w:t>
      </w:r>
      <w:r w:rsidRPr="003138ED">
        <w:rPr>
          <w:rFonts w:ascii="Times New Roman" w:eastAsia="Calibri" w:hAnsi="Times New Roman" w:cs="Times New Roman"/>
          <w:w w:val="105"/>
          <w:kern w:val="0"/>
          <w14:ligatures w14:val="none"/>
        </w:rPr>
        <w:t>of</w:t>
      </w:r>
      <w:r w:rsidRPr="003138ED">
        <w:rPr>
          <w:rFonts w:ascii="Times New Roman" w:eastAsia="Calibri" w:hAnsi="Times New Roman" w:cs="Times New Roman"/>
          <w:spacing w:val="-3"/>
          <w:w w:val="105"/>
          <w:kern w:val="0"/>
          <w14:ligatures w14:val="none"/>
        </w:rPr>
        <w:t xml:space="preserve"> the </w:t>
      </w:r>
      <w:r w:rsidRPr="003138ED">
        <w:rPr>
          <w:rFonts w:ascii="Times New Roman" w:eastAsia="Calibri" w:hAnsi="Times New Roman" w:cs="Times New Roman"/>
          <w:w w:val="105"/>
          <w:kern w:val="0"/>
          <w14:ligatures w14:val="none"/>
        </w:rPr>
        <w:t>defendant’s</w:t>
      </w:r>
      <w:r w:rsidRPr="003138ED">
        <w:rPr>
          <w:rFonts w:ascii="Times New Roman" w:eastAsia="Calibri" w:hAnsi="Times New Roman" w:cs="Times New Roman"/>
          <w:spacing w:val="-2"/>
          <w:w w:val="105"/>
          <w:kern w:val="0"/>
          <w14:ligatures w14:val="none"/>
        </w:rPr>
        <w:t xml:space="preserve"> </w:t>
      </w:r>
      <w:r w:rsidRPr="003138ED">
        <w:rPr>
          <w:rFonts w:ascii="Times New Roman" w:eastAsia="Calibri" w:hAnsi="Times New Roman" w:cs="Times New Roman"/>
          <w:w w:val="105"/>
          <w:kern w:val="0"/>
          <w14:ligatures w14:val="none"/>
        </w:rPr>
        <w:t>infringing work on</w:t>
      </w:r>
      <w:r w:rsidRPr="003138ED">
        <w:rPr>
          <w:rFonts w:ascii="Times New Roman" w:eastAsia="Calibri" w:hAnsi="Times New Roman" w:cs="Times New Roman"/>
          <w:spacing w:val="-1"/>
          <w:w w:val="105"/>
          <w:kern w:val="0"/>
          <w14:ligatures w14:val="none"/>
        </w:rPr>
        <w:t xml:space="preserve"> the </w:t>
      </w:r>
      <w:r w:rsidRPr="003138ED">
        <w:rPr>
          <w:rFonts w:ascii="Times New Roman" w:eastAsia="Calibri" w:hAnsi="Times New Roman" w:cs="Times New Roman"/>
          <w:w w:val="105"/>
          <w:kern w:val="0"/>
          <w14:ligatures w14:val="none"/>
        </w:rPr>
        <w:t>market</w:t>
      </w:r>
      <w:r w:rsidRPr="003138ED">
        <w:rPr>
          <w:rFonts w:ascii="Times New Roman" w:eastAsia="Calibri" w:hAnsi="Times New Roman" w:cs="Times New Roman"/>
          <w:spacing w:val="-5"/>
          <w:w w:val="105"/>
          <w:kern w:val="0"/>
          <w14:ligatures w14:val="none"/>
        </w:rPr>
        <w:t xml:space="preserve"> </w:t>
      </w:r>
      <w:r w:rsidRPr="003138ED">
        <w:rPr>
          <w:rFonts w:ascii="Times New Roman" w:eastAsia="Calibri" w:hAnsi="Times New Roman" w:cs="Times New Roman"/>
          <w:w w:val="105"/>
          <w:kern w:val="0"/>
          <w14:ligatures w14:val="none"/>
        </w:rPr>
        <w:t>for,</w:t>
      </w:r>
      <w:r w:rsidRPr="003138ED">
        <w:rPr>
          <w:rFonts w:ascii="Times New Roman" w:eastAsia="Calibri" w:hAnsi="Times New Roman" w:cs="Times New Roman"/>
          <w:spacing w:val="-3"/>
          <w:w w:val="105"/>
          <w:kern w:val="0"/>
          <w14:ligatures w14:val="none"/>
        </w:rPr>
        <w:t xml:space="preserve"> </w:t>
      </w:r>
      <w:r w:rsidRPr="003138ED">
        <w:rPr>
          <w:rFonts w:ascii="Times New Roman" w:eastAsia="Calibri" w:hAnsi="Times New Roman" w:cs="Times New Roman"/>
          <w:w w:val="105"/>
          <w:kern w:val="0"/>
          <w14:ligatures w14:val="none"/>
        </w:rPr>
        <w:t>or</w:t>
      </w:r>
      <w:r w:rsidRPr="003138ED">
        <w:rPr>
          <w:rFonts w:ascii="Times New Roman" w:eastAsia="Calibri" w:hAnsi="Times New Roman" w:cs="Times New Roman"/>
          <w:spacing w:val="-4"/>
          <w:w w:val="105"/>
          <w:kern w:val="0"/>
          <w14:ligatures w14:val="none"/>
        </w:rPr>
        <w:t xml:space="preserve"> </w:t>
      </w:r>
      <w:r w:rsidRPr="003138ED">
        <w:rPr>
          <w:rFonts w:ascii="Times New Roman" w:eastAsia="Calibri" w:hAnsi="Times New Roman" w:cs="Times New Roman"/>
          <w:w w:val="105"/>
          <w:kern w:val="0"/>
          <w14:ligatures w14:val="none"/>
        </w:rPr>
        <w:t>value</w:t>
      </w:r>
      <w:r w:rsidRPr="003138ED">
        <w:rPr>
          <w:rFonts w:ascii="Times New Roman" w:eastAsia="Calibri" w:hAnsi="Times New Roman" w:cs="Times New Roman"/>
          <w:spacing w:val="-2"/>
          <w:w w:val="105"/>
          <w:kern w:val="0"/>
          <w14:ligatures w14:val="none"/>
        </w:rPr>
        <w:t xml:space="preserve"> </w:t>
      </w:r>
      <w:r w:rsidRPr="003138ED">
        <w:rPr>
          <w:rFonts w:ascii="Times New Roman" w:eastAsia="Calibri" w:hAnsi="Times New Roman" w:cs="Times New Roman"/>
          <w:w w:val="105"/>
          <w:kern w:val="0"/>
          <w14:ligatures w14:val="none"/>
        </w:rPr>
        <w:t>of,</w:t>
      </w:r>
      <w:r w:rsidRPr="003138ED">
        <w:rPr>
          <w:rFonts w:ascii="Times New Roman" w:eastAsia="Calibri" w:hAnsi="Times New Roman" w:cs="Times New Roman"/>
          <w:spacing w:val="-3"/>
          <w:w w:val="105"/>
          <w:kern w:val="0"/>
          <w14:ligatures w14:val="none"/>
        </w:rPr>
        <w:t xml:space="preserve"> the </w:t>
      </w:r>
      <w:r w:rsidRPr="003138ED">
        <w:rPr>
          <w:rFonts w:ascii="Times New Roman" w:eastAsia="Calibri" w:hAnsi="Times New Roman" w:cs="Times New Roman"/>
          <w:w w:val="105"/>
          <w:kern w:val="0"/>
          <w14:ligatures w14:val="none"/>
        </w:rPr>
        <w:t>plaintiff’s</w:t>
      </w:r>
      <w:r w:rsidRPr="003138ED">
        <w:rPr>
          <w:rFonts w:ascii="Times New Roman" w:eastAsia="Calibri" w:hAnsi="Times New Roman" w:cs="Times New Roman"/>
          <w:spacing w:val="-3"/>
          <w:w w:val="105"/>
          <w:kern w:val="0"/>
          <w14:ligatures w14:val="none"/>
        </w:rPr>
        <w:t xml:space="preserve"> copyrighted </w:t>
      </w:r>
      <w:r w:rsidRPr="003138ED">
        <w:rPr>
          <w:rFonts w:ascii="Times New Roman" w:eastAsia="Calibri" w:hAnsi="Times New Roman" w:cs="Times New Roman"/>
          <w:w w:val="105"/>
          <w:kern w:val="0"/>
          <w14:ligatures w14:val="none"/>
        </w:rPr>
        <w:t>work</w:t>
      </w:r>
      <w:r w:rsidRPr="003138ED">
        <w:rPr>
          <w:rFonts w:ascii="Times New Roman" w:eastAsia="Calibri" w:hAnsi="Times New Roman" w:cs="Times New Roman"/>
          <w:spacing w:val="-1"/>
          <w:w w:val="105"/>
          <w:kern w:val="0"/>
          <w14:ligatures w14:val="none"/>
        </w:rPr>
        <w:t xml:space="preserve"> </w:t>
      </w:r>
      <w:r w:rsidRPr="003138ED">
        <w:rPr>
          <w:rFonts w:ascii="Times New Roman" w:eastAsia="Calibri" w:hAnsi="Times New Roman" w:cs="Times New Roman"/>
          <w:w w:val="105"/>
          <w:kern w:val="0"/>
          <w14:ligatures w14:val="none"/>
        </w:rPr>
        <w:t>is</w:t>
      </w:r>
      <w:r w:rsidRPr="003138ED">
        <w:rPr>
          <w:rFonts w:ascii="Times New Roman" w:eastAsia="Calibri" w:hAnsi="Times New Roman" w:cs="Times New Roman"/>
          <w:spacing w:val="-2"/>
          <w:w w:val="105"/>
          <w:kern w:val="0"/>
          <w14:ligatures w14:val="none"/>
        </w:rPr>
        <w:t xml:space="preserve"> the </w:t>
      </w:r>
      <w:r w:rsidRPr="003138ED">
        <w:rPr>
          <w:rFonts w:ascii="Times New Roman" w:eastAsia="Calibri" w:hAnsi="Times New Roman" w:cs="Times New Roman"/>
          <w:w w:val="105"/>
          <w:kern w:val="0"/>
          <w14:ligatures w14:val="none"/>
        </w:rPr>
        <w:t>most</w:t>
      </w:r>
      <w:r w:rsidRPr="003138ED">
        <w:rPr>
          <w:rFonts w:ascii="Times New Roman" w:eastAsia="Calibri" w:hAnsi="Times New Roman" w:cs="Times New Roman"/>
          <w:spacing w:val="-6"/>
          <w:w w:val="105"/>
          <w:kern w:val="0"/>
          <w14:ligatures w14:val="none"/>
        </w:rPr>
        <w:t xml:space="preserve"> </w:t>
      </w:r>
      <w:r w:rsidRPr="003138ED">
        <w:rPr>
          <w:rFonts w:ascii="Times New Roman" w:eastAsia="Calibri" w:hAnsi="Times New Roman" w:cs="Times New Roman"/>
          <w:w w:val="105"/>
          <w:kern w:val="0"/>
          <w14:ligatures w14:val="none"/>
        </w:rPr>
        <w:t>important</w:t>
      </w:r>
      <w:r w:rsidRPr="003138ED">
        <w:rPr>
          <w:rFonts w:ascii="Times New Roman" w:eastAsia="Calibri" w:hAnsi="Times New Roman" w:cs="Times New Roman"/>
          <w:spacing w:val="-5"/>
          <w:w w:val="105"/>
          <w:kern w:val="0"/>
          <w14:ligatures w14:val="none"/>
        </w:rPr>
        <w:t xml:space="preserve"> </w:t>
      </w:r>
      <w:r w:rsidRPr="003138ED">
        <w:rPr>
          <w:rFonts w:ascii="Times New Roman" w:eastAsia="Calibri" w:hAnsi="Times New Roman" w:cs="Times New Roman"/>
          <w:w w:val="105"/>
          <w:kern w:val="0"/>
          <w14:ligatures w14:val="none"/>
        </w:rPr>
        <w:t>fair</w:t>
      </w:r>
      <w:r w:rsidRPr="003138ED">
        <w:rPr>
          <w:rFonts w:ascii="Times New Roman" w:eastAsia="Calibri" w:hAnsi="Times New Roman" w:cs="Times New Roman"/>
          <w:spacing w:val="-4"/>
          <w:w w:val="105"/>
          <w:kern w:val="0"/>
          <w14:ligatures w14:val="none"/>
        </w:rPr>
        <w:t xml:space="preserve"> </w:t>
      </w:r>
      <w:r w:rsidRPr="003138ED">
        <w:rPr>
          <w:rFonts w:ascii="Times New Roman" w:eastAsia="Calibri" w:hAnsi="Times New Roman" w:cs="Times New Roman"/>
          <w:w w:val="105"/>
          <w:kern w:val="0"/>
          <w14:ligatures w14:val="none"/>
        </w:rPr>
        <w:t>use</w:t>
      </w:r>
      <w:r w:rsidRPr="003138ED">
        <w:rPr>
          <w:rFonts w:ascii="Times New Roman" w:eastAsia="Calibri" w:hAnsi="Times New Roman" w:cs="Times New Roman"/>
          <w:spacing w:val="-2"/>
          <w:w w:val="105"/>
          <w:kern w:val="0"/>
          <w14:ligatures w14:val="none"/>
        </w:rPr>
        <w:t xml:space="preserve"> </w:t>
      </w:r>
      <w:r w:rsidRPr="003138ED">
        <w:rPr>
          <w:rFonts w:ascii="Times New Roman" w:eastAsia="Calibri" w:hAnsi="Times New Roman" w:cs="Times New Roman"/>
          <w:w w:val="105"/>
          <w:kern w:val="0"/>
          <w14:ligatures w14:val="none"/>
        </w:rPr>
        <w:t xml:space="preserve">factor. </w:t>
      </w:r>
      <w:r w:rsidRPr="003138ED">
        <w:rPr>
          <w:rFonts w:ascii="Times New Roman" w:eastAsia="Calibri" w:hAnsi="Times New Roman" w:cs="Times New Roman"/>
          <w:i/>
          <w:iCs/>
          <w:kern w:val="0"/>
          <w14:ligatures w14:val="none"/>
        </w:rPr>
        <w:t>Harper &amp; Row</w:t>
      </w:r>
      <w:r w:rsidRPr="003138ED">
        <w:rPr>
          <w:rFonts w:ascii="Times New Roman" w:eastAsia="Calibri" w:hAnsi="Times New Roman" w:cs="Times New Roman"/>
          <w:kern w:val="0"/>
          <w14:ligatures w14:val="none"/>
        </w:rPr>
        <w:t xml:space="preserve">, 471 U.S. at 566; </w:t>
      </w:r>
      <w:r w:rsidRPr="003138ED">
        <w:rPr>
          <w:rFonts w:ascii="Times New Roman" w:eastAsia="Calibri" w:hAnsi="Times New Roman" w:cs="Times New Roman"/>
          <w:i/>
          <w:iCs/>
          <w:kern w:val="0"/>
          <w14:ligatures w14:val="none"/>
        </w:rPr>
        <w:t>SOFA Ent., Inc.</w:t>
      </w:r>
      <w:r w:rsidRPr="003138ED">
        <w:rPr>
          <w:rFonts w:ascii="Times New Roman" w:eastAsia="Calibri" w:hAnsi="Times New Roman" w:cs="Times New Roman"/>
          <w:kern w:val="0"/>
          <w14:ligatures w14:val="none"/>
        </w:rPr>
        <w:t xml:space="preserve">, 709 F.3d at 1280 (explaining that this factor favors finding of fair use when use “advances [the alleged infringers’] own original creation without any reasonable threat to [the original author’s] business model”); </w:t>
      </w:r>
      <w:r w:rsidRPr="003138ED">
        <w:rPr>
          <w:rFonts w:ascii="Times New Roman" w:eastAsia="Calibri" w:hAnsi="Times New Roman" w:cs="Times New Roman"/>
          <w:i/>
          <w:iCs/>
          <w:kern w:val="0"/>
          <w14:ligatures w14:val="none"/>
        </w:rPr>
        <w:t>Monge</w:t>
      </w:r>
      <w:r w:rsidRPr="003138ED">
        <w:rPr>
          <w:rFonts w:ascii="Times New Roman" w:eastAsia="Calibri" w:hAnsi="Times New Roman" w:cs="Times New Roman"/>
          <w:kern w:val="0"/>
          <w14:ligatures w14:val="none"/>
        </w:rPr>
        <w:t xml:space="preserve">, 688 F.3d at 1181 (emphasizing that potential market exists independent of the copyright owner’s present intent not to publish copyrighted work); </w:t>
      </w:r>
      <w:r w:rsidRPr="003138ED">
        <w:rPr>
          <w:rFonts w:ascii="Times New Roman" w:eastAsia="Calibri" w:hAnsi="Times New Roman" w:cs="Times New Roman"/>
          <w:i/>
          <w:iCs/>
          <w:kern w:val="0"/>
          <w14:ligatures w14:val="none"/>
        </w:rPr>
        <w:t>Bleem</w:t>
      </w:r>
      <w:r w:rsidRPr="003138ED">
        <w:rPr>
          <w:rFonts w:ascii="Times New Roman" w:eastAsia="Calibri" w:hAnsi="Times New Roman" w:cs="Times New Roman"/>
          <w:kern w:val="0"/>
          <w14:ligatures w14:val="none"/>
        </w:rPr>
        <w:t xml:space="preserve">, 214 F.3d at 1026-27 (noting that the market effect “factor may be the most important, [but] all factors must be considered, and the commercial nature of the copies is just </w:t>
      </w:r>
      <w:r w:rsidRPr="003138ED">
        <w:rPr>
          <w:rFonts w:ascii="Times New Roman" w:eastAsia="Calibri" w:hAnsi="Times New Roman" w:cs="Times New Roman"/>
          <w:kern w:val="0"/>
          <w14:ligatures w14:val="none"/>
        </w:rPr>
        <w:lastRenderedPageBreak/>
        <w:t xml:space="preserve">one element”; use for comparative advertising can support first fair use factor but negate fourth fair use factor); </w:t>
      </w:r>
      <w:r w:rsidRPr="003138ED">
        <w:rPr>
          <w:rFonts w:ascii="Times New Roman" w:eastAsia="Calibri" w:hAnsi="Times New Roman" w:cs="Times New Roman"/>
          <w:i/>
          <w:iCs/>
          <w:kern w:val="0"/>
          <w14:ligatures w14:val="none"/>
        </w:rPr>
        <w:t>Dr. Seuss</w:t>
      </w:r>
      <w:r w:rsidRPr="003138ED">
        <w:rPr>
          <w:rFonts w:ascii="Times New Roman" w:eastAsia="Calibri" w:hAnsi="Times New Roman" w:cs="Times New Roman"/>
          <w:kern w:val="0"/>
          <w14:ligatures w14:val="none"/>
        </w:rPr>
        <w:t xml:space="preserve">, 109 F.3d at 1403 (balancing public benefit that will result from the defendant’s use against personal gain the copyright owner will receive if use is denied); </w:t>
      </w:r>
      <w:r w:rsidRPr="003138ED">
        <w:rPr>
          <w:rFonts w:ascii="Times New Roman" w:eastAsia="Calibri" w:hAnsi="Times New Roman" w:cs="Times New Roman"/>
          <w:i/>
          <w:iCs/>
          <w:kern w:val="0"/>
          <w14:ligatures w14:val="none"/>
        </w:rPr>
        <w:t>Triad Sys. Corp.</w:t>
      </w:r>
      <w:r w:rsidRPr="003138ED">
        <w:rPr>
          <w:rFonts w:ascii="Times New Roman" w:eastAsia="Calibri" w:hAnsi="Times New Roman" w:cs="Times New Roman"/>
          <w:kern w:val="0"/>
          <w14:ligatures w14:val="none"/>
        </w:rPr>
        <w:t>, 64 F.3d at 1336-37 (noting that when defendant’s work competes in same market it is less likely fair use).</w:t>
      </w:r>
    </w:p>
    <w:p w14:paraId="3D5A76B2" w14:textId="77777777" w:rsidR="003138ED" w:rsidRPr="003138ED" w:rsidRDefault="003138ED" w:rsidP="003138ED">
      <w:pPr>
        <w:spacing w:after="0" w:line="240" w:lineRule="auto"/>
        <w:rPr>
          <w:rFonts w:ascii="Times New Roman" w:eastAsia="Calibri" w:hAnsi="Times New Roman" w:cs="Times New Roman"/>
          <w:kern w:val="0"/>
          <w14:ligatures w14:val="none"/>
        </w:rPr>
      </w:pPr>
    </w:p>
    <w:p w14:paraId="52885943" w14:textId="756EBF86" w:rsidR="003138ED" w:rsidRPr="003138ED" w:rsidRDefault="003138ED" w:rsidP="003138ED">
      <w:pPr>
        <w:spacing w:after="0" w:line="240" w:lineRule="auto"/>
        <w:rPr>
          <w:rFonts w:ascii="Times New Roman" w:eastAsia="Calibri" w:hAnsi="Times New Roman" w:cs="Times New Roman"/>
          <w:strike/>
          <w:kern w:val="0"/>
          <w14:ligatures w14:val="none"/>
        </w:rPr>
      </w:pPr>
      <w:r w:rsidRPr="003138ED">
        <w:rPr>
          <w:rFonts w:ascii="Times New Roman" w:eastAsia="Calibri" w:hAnsi="Times New Roman" w:cs="Times New Roman"/>
          <w:b/>
          <w:bCs/>
          <w:kern w:val="0"/>
          <w14:ligatures w14:val="none"/>
        </w:rPr>
        <w:t>5.</w:t>
      </w:r>
      <w:r w:rsidRPr="003138ED">
        <w:rPr>
          <w:rFonts w:ascii="Times New Roman" w:eastAsia="Calibri" w:hAnsi="Times New Roman" w:cs="Times New Roman"/>
          <w:b/>
          <w:bCs/>
          <w:kern w:val="0"/>
          <w14:ligatures w14:val="none"/>
        </w:rPr>
        <w:tab/>
        <w:t>Additional Factors:</w:t>
      </w:r>
      <w:r w:rsidRPr="003138ED">
        <w:rPr>
          <w:rFonts w:ascii="Times New Roman" w:eastAsia="Calibri" w:hAnsi="Times New Roman" w:cs="Times New Roman"/>
          <w:kern w:val="0"/>
          <w14:ligatures w14:val="none"/>
        </w:rPr>
        <w:t xml:space="preserve"> </w:t>
      </w:r>
      <w:r w:rsidRPr="003138ED">
        <w:rPr>
          <w:rFonts w:ascii="Times New Roman" w:eastAsia="Calibri" w:hAnsi="Times New Roman" w:cs="Times New Roman"/>
          <w:i/>
          <w:iCs/>
          <w:kern w:val="0"/>
          <w14:ligatures w14:val="none"/>
        </w:rPr>
        <w:t>See</w:t>
      </w:r>
      <w:r w:rsidRPr="003138ED">
        <w:rPr>
          <w:rFonts w:ascii="Times New Roman" w:eastAsia="Calibri" w:hAnsi="Times New Roman" w:cs="Times New Roman"/>
          <w:kern w:val="0"/>
          <w14:ligatures w14:val="none"/>
        </w:rPr>
        <w:t xml:space="preserve"> </w:t>
      </w:r>
      <w:r w:rsidRPr="003138ED">
        <w:rPr>
          <w:rFonts w:ascii="Times New Roman" w:eastAsia="Calibri" w:hAnsi="Times New Roman" w:cs="Times New Roman"/>
          <w:i/>
          <w:iCs/>
          <w:kern w:val="0"/>
          <w14:ligatures w14:val="none"/>
        </w:rPr>
        <w:t>Harper &amp; Row</w:t>
      </w:r>
      <w:r w:rsidRPr="003138ED">
        <w:rPr>
          <w:rFonts w:ascii="Times New Roman" w:eastAsia="Calibri" w:hAnsi="Times New Roman" w:cs="Times New Roman"/>
          <w:kern w:val="0"/>
          <w14:ligatures w14:val="none"/>
        </w:rPr>
        <w:t xml:space="preserve">, 471 U.S. at 562 (explaining that the propriety of the defendant’s conduct is relevant to the character of the use because fair use presupposes good faith and fair dealing) (quotation marks and citation omitted); </w:t>
      </w:r>
      <w:r w:rsidRPr="003138ED">
        <w:rPr>
          <w:rFonts w:ascii="Times New Roman" w:eastAsia="Calibri" w:hAnsi="Times New Roman" w:cs="Times New Roman"/>
          <w:i/>
          <w:iCs/>
          <w:kern w:val="0"/>
          <w14:ligatures w14:val="none"/>
        </w:rPr>
        <w:t>Fisher v. Dees</w:t>
      </w:r>
      <w:r w:rsidRPr="003138ED">
        <w:rPr>
          <w:rFonts w:ascii="Times New Roman" w:eastAsia="Calibri" w:hAnsi="Times New Roman" w:cs="Times New Roman"/>
          <w:kern w:val="0"/>
          <w14:ligatures w14:val="none"/>
        </w:rPr>
        <w:t>, 794 F.2d 432, 437 (9th Cir. 1986) (“courts may weigh ‘the propriety of the defendant’s conduct’ in the equitable balance of a fair use determination” (citation omitted)).</w:t>
      </w:r>
    </w:p>
    <w:p w14:paraId="53D54DEF" w14:textId="77777777" w:rsidR="003138ED" w:rsidRPr="003138ED" w:rsidRDefault="003138ED" w:rsidP="003138ED">
      <w:pPr>
        <w:spacing w:after="0" w:line="240" w:lineRule="auto"/>
        <w:rPr>
          <w:rFonts w:ascii="Times New Roman" w:eastAsia="Calibri" w:hAnsi="Times New Roman" w:cs="Times New Roman"/>
          <w:strike/>
          <w:kern w:val="0"/>
          <w14:ligatures w14:val="none"/>
        </w:rPr>
      </w:pPr>
    </w:p>
    <w:p w14:paraId="391BA78F" w14:textId="34B67CE7" w:rsidR="003138ED" w:rsidRPr="003138ED" w:rsidRDefault="003138ED" w:rsidP="003138ED">
      <w:pPr>
        <w:spacing w:after="0" w:line="240" w:lineRule="auto"/>
        <w:jc w:val="right"/>
        <w:rPr>
          <w:rFonts w:ascii="Times New Roman" w:eastAsia="Calibri" w:hAnsi="Times New Roman" w:cs="Times New Roman"/>
          <w:i/>
          <w:iCs/>
          <w:kern w:val="0"/>
          <w14:ligatures w14:val="none"/>
        </w:rPr>
      </w:pPr>
      <w:r w:rsidRPr="003138ED">
        <w:rPr>
          <w:rFonts w:ascii="Times New Roman" w:eastAsia="Calibri" w:hAnsi="Times New Roman" w:cs="Times New Roman"/>
          <w:i/>
          <w:iCs/>
          <w:kern w:val="0"/>
          <w14:ligatures w14:val="none"/>
        </w:rPr>
        <w:t xml:space="preserve">Revised </w:t>
      </w:r>
      <w:r w:rsidR="00EB1047">
        <w:rPr>
          <w:rFonts w:ascii="Times New Roman" w:eastAsia="Calibri" w:hAnsi="Times New Roman" w:cs="Times New Roman"/>
          <w:i/>
          <w:iCs/>
          <w:kern w:val="0"/>
          <w14:ligatures w14:val="none"/>
        </w:rPr>
        <w:t>September 2025</w:t>
      </w:r>
    </w:p>
    <w:p w14:paraId="74F7FBB4" w14:textId="77777777" w:rsidR="003138ED" w:rsidRPr="003138ED" w:rsidRDefault="003138ED" w:rsidP="003138ED">
      <w:pPr>
        <w:autoSpaceDE w:val="0"/>
        <w:autoSpaceDN w:val="0"/>
        <w:adjustRightInd w:val="0"/>
        <w:spacing w:after="0" w:line="240" w:lineRule="auto"/>
        <w:rPr>
          <w:rFonts w:ascii="Times New Roman" w:eastAsia="Calibri" w:hAnsi="Times New Roman" w:cs="Times New Roman"/>
          <w:kern w:val="0"/>
          <w14:ligatures w14:val="none"/>
        </w:rPr>
      </w:pPr>
    </w:p>
    <w:bookmarkEnd w:id="2"/>
    <w:p w14:paraId="2BDBFCF7" w14:textId="34E0EA23" w:rsidR="00147419" w:rsidRDefault="00147419" w:rsidP="003138ED"/>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945DB"/>
    <w:multiLevelType w:val="hybridMultilevel"/>
    <w:tmpl w:val="E068B060"/>
    <w:lvl w:ilvl="0" w:tplc="F4EEF0BC">
      <w:start w:val="1"/>
      <w:numFmt w:val="decimal"/>
      <w:lvlText w:val="%1."/>
      <w:lvlJc w:val="left"/>
      <w:pPr>
        <w:ind w:left="1080" w:hanging="72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3013C2"/>
    <w:multiLevelType w:val="hybridMultilevel"/>
    <w:tmpl w:val="14403CAC"/>
    <w:lvl w:ilvl="0" w:tplc="7D1611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7699471">
    <w:abstractNumId w:val="0"/>
  </w:num>
  <w:num w:numId="2" w16cid:durableId="1155343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FD"/>
    <w:rsid w:val="000228FD"/>
    <w:rsid w:val="00147419"/>
    <w:rsid w:val="00207243"/>
    <w:rsid w:val="003138ED"/>
    <w:rsid w:val="0042339F"/>
    <w:rsid w:val="007E0761"/>
    <w:rsid w:val="008F753D"/>
    <w:rsid w:val="00920AE5"/>
    <w:rsid w:val="00A71FC0"/>
    <w:rsid w:val="00B951E2"/>
    <w:rsid w:val="00C36D00"/>
    <w:rsid w:val="00D04691"/>
    <w:rsid w:val="00D54CA4"/>
    <w:rsid w:val="00EB1047"/>
    <w:rsid w:val="00F5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DCE8"/>
  <w15:chartTrackingRefBased/>
  <w15:docId w15:val="{6CA70559-7698-4E25-88F9-EE94E246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8FD"/>
    <w:rPr>
      <w:rFonts w:eastAsiaTheme="majorEastAsia" w:cstheme="majorBidi"/>
      <w:color w:val="272727" w:themeColor="text1" w:themeTint="D8"/>
    </w:rPr>
  </w:style>
  <w:style w:type="paragraph" w:styleId="Title">
    <w:name w:val="Title"/>
    <w:basedOn w:val="Normal"/>
    <w:next w:val="Normal"/>
    <w:link w:val="TitleChar"/>
    <w:uiPriority w:val="10"/>
    <w:qFormat/>
    <w:rsid w:val="00022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8FD"/>
    <w:pPr>
      <w:spacing w:before="160"/>
      <w:jc w:val="center"/>
    </w:pPr>
    <w:rPr>
      <w:i/>
      <w:iCs/>
      <w:color w:val="404040" w:themeColor="text1" w:themeTint="BF"/>
    </w:rPr>
  </w:style>
  <w:style w:type="character" w:customStyle="1" w:styleId="QuoteChar">
    <w:name w:val="Quote Char"/>
    <w:basedOn w:val="DefaultParagraphFont"/>
    <w:link w:val="Quote"/>
    <w:uiPriority w:val="29"/>
    <w:rsid w:val="000228FD"/>
    <w:rPr>
      <w:i/>
      <w:iCs/>
      <w:color w:val="404040" w:themeColor="text1" w:themeTint="BF"/>
    </w:rPr>
  </w:style>
  <w:style w:type="paragraph" w:styleId="ListParagraph">
    <w:name w:val="List Paragraph"/>
    <w:basedOn w:val="Normal"/>
    <w:uiPriority w:val="34"/>
    <w:qFormat/>
    <w:rsid w:val="000228FD"/>
    <w:pPr>
      <w:ind w:left="720"/>
      <w:contextualSpacing/>
    </w:pPr>
  </w:style>
  <w:style w:type="character" w:styleId="IntenseEmphasis">
    <w:name w:val="Intense Emphasis"/>
    <w:basedOn w:val="DefaultParagraphFont"/>
    <w:uiPriority w:val="21"/>
    <w:qFormat/>
    <w:rsid w:val="000228FD"/>
    <w:rPr>
      <w:i/>
      <w:iCs/>
      <w:color w:val="0F4761" w:themeColor="accent1" w:themeShade="BF"/>
    </w:rPr>
  </w:style>
  <w:style w:type="paragraph" w:styleId="IntenseQuote">
    <w:name w:val="Intense Quote"/>
    <w:basedOn w:val="Normal"/>
    <w:next w:val="Normal"/>
    <w:link w:val="IntenseQuoteChar"/>
    <w:uiPriority w:val="30"/>
    <w:qFormat/>
    <w:rsid w:val="00022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8FD"/>
    <w:rPr>
      <w:i/>
      <w:iCs/>
      <w:color w:val="0F4761" w:themeColor="accent1" w:themeShade="BF"/>
    </w:rPr>
  </w:style>
  <w:style w:type="character" w:styleId="IntenseReference">
    <w:name w:val="Intense Reference"/>
    <w:basedOn w:val="DefaultParagraphFont"/>
    <w:uiPriority w:val="32"/>
    <w:qFormat/>
    <w:rsid w:val="000228FD"/>
    <w:rPr>
      <w:b/>
      <w:bCs/>
      <w:smallCaps/>
      <w:color w:val="0F4761" w:themeColor="accent1" w:themeShade="BF"/>
      <w:spacing w:val="5"/>
    </w:rPr>
  </w:style>
  <w:style w:type="paragraph" w:styleId="Revision">
    <w:name w:val="Revision"/>
    <w:hidden/>
    <w:uiPriority w:val="99"/>
    <w:semiHidden/>
    <w:rsid w:val="00EB10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2125</Words>
  <Characters>12113</Characters>
  <Application>Microsoft Office Word</Application>
  <DocSecurity>0</DocSecurity>
  <Lines>100</Lines>
  <Paragraphs>28</Paragraphs>
  <ScaleCrop>false</ScaleCrop>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6</cp:revision>
  <dcterms:created xsi:type="dcterms:W3CDTF">2025-10-14T18:17:00Z</dcterms:created>
  <dcterms:modified xsi:type="dcterms:W3CDTF">2025-11-10T06:19:00Z</dcterms:modified>
</cp:coreProperties>
</file>