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49326" w14:textId="77777777" w:rsidR="0091104D" w:rsidRPr="0091104D" w:rsidRDefault="0091104D" w:rsidP="0091104D">
      <w:pPr>
        <w:spacing w:after="0" w:line="240" w:lineRule="auto"/>
        <w:jc w:val="center"/>
        <w:rPr>
          <w:b/>
          <w:bCs/>
          <w:kern w:val="0"/>
          <w:sz w:val="24"/>
          <w:szCs w:val="24"/>
        </w:rPr>
      </w:pPr>
      <w:r w:rsidRPr="0091104D">
        <w:rPr>
          <w:b/>
          <w:bCs/>
          <w:kern w:val="0"/>
          <w:sz w:val="24"/>
          <w:szCs w:val="24"/>
        </w:rPr>
        <w:t>17.23 Copyright—Affirmative Defense—Abandonment</w:t>
      </w:r>
    </w:p>
    <w:p w14:paraId="0A2DCEAF" w14:textId="77777777" w:rsidR="0091104D" w:rsidRPr="0091104D" w:rsidRDefault="0091104D" w:rsidP="0091104D">
      <w:pPr>
        <w:spacing w:after="0" w:line="240" w:lineRule="auto"/>
        <w:rPr>
          <w:kern w:val="0"/>
          <w:sz w:val="24"/>
          <w:szCs w:val="24"/>
        </w:rPr>
      </w:pPr>
    </w:p>
    <w:p w14:paraId="1A5EB3B1" w14:textId="721E249D" w:rsidR="0091104D" w:rsidRPr="0091104D" w:rsidRDefault="0091104D" w:rsidP="0091104D">
      <w:pPr>
        <w:spacing w:after="0" w:line="240" w:lineRule="auto"/>
        <w:rPr>
          <w:kern w:val="0"/>
          <w:sz w:val="24"/>
          <w:szCs w:val="24"/>
        </w:rPr>
      </w:pPr>
      <w:r w:rsidRPr="0091104D">
        <w:rPr>
          <w:kern w:val="0"/>
          <w:sz w:val="24"/>
          <w:szCs w:val="24"/>
        </w:rPr>
        <w:tab/>
        <w:t>The defendant contends that a copyright does not exist in the plaintiff’s work because the plaintiff abandoned the copyright. The plaintiff cannot claim ownership of the copyright if it was abandoned.</w:t>
      </w:r>
      <w:r w:rsidRPr="00605423">
        <w:rPr>
          <w:kern w:val="0"/>
          <w:sz w:val="24"/>
          <w:szCs w:val="24"/>
        </w:rPr>
        <w:t xml:space="preserve"> To</w:t>
      </w:r>
      <w:r w:rsidRPr="00605423">
        <w:rPr>
          <w:color w:val="FF0000"/>
          <w:kern w:val="0"/>
          <w:sz w:val="24"/>
          <w:szCs w:val="24"/>
        </w:rPr>
        <w:t xml:space="preserve"> </w:t>
      </w:r>
      <w:r w:rsidRPr="0091104D">
        <w:rPr>
          <w:kern w:val="0"/>
          <w:sz w:val="24"/>
          <w:szCs w:val="24"/>
        </w:rPr>
        <w:t>show abandonment, the defendant has the burden of proving each of the following by a preponderance of the evidence:</w:t>
      </w:r>
    </w:p>
    <w:p w14:paraId="3E2055E8" w14:textId="77777777" w:rsidR="0091104D" w:rsidRPr="0091104D" w:rsidRDefault="0091104D" w:rsidP="0091104D">
      <w:pPr>
        <w:spacing w:after="0" w:line="240" w:lineRule="auto"/>
        <w:rPr>
          <w:kern w:val="0"/>
          <w:sz w:val="24"/>
          <w:szCs w:val="24"/>
        </w:rPr>
      </w:pPr>
    </w:p>
    <w:p w14:paraId="798C7F7E" w14:textId="4447FDCA" w:rsidR="0091104D" w:rsidRPr="0091104D" w:rsidRDefault="0091104D" w:rsidP="0091104D">
      <w:pPr>
        <w:spacing w:after="0" w:line="240" w:lineRule="auto"/>
        <w:rPr>
          <w:kern w:val="0"/>
          <w:sz w:val="24"/>
          <w:szCs w:val="24"/>
        </w:rPr>
      </w:pPr>
      <w:r w:rsidRPr="0091104D">
        <w:rPr>
          <w:kern w:val="0"/>
          <w:sz w:val="24"/>
          <w:szCs w:val="24"/>
        </w:rPr>
        <w:tab/>
      </w:r>
      <w:r w:rsidRPr="00605423">
        <w:rPr>
          <w:kern w:val="0"/>
          <w:sz w:val="24"/>
          <w:szCs w:val="24"/>
        </w:rPr>
        <w:t>First</w:t>
      </w:r>
      <w:r w:rsidRPr="0091104D">
        <w:rPr>
          <w:kern w:val="0"/>
          <w:sz w:val="24"/>
          <w:szCs w:val="24"/>
        </w:rPr>
        <w:t>, the plaintiff intended to surrender [ownership] rights in the work; and</w:t>
      </w:r>
    </w:p>
    <w:p w14:paraId="1E03F94A" w14:textId="77777777" w:rsidR="0091104D" w:rsidRPr="0091104D" w:rsidRDefault="0091104D" w:rsidP="0091104D">
      <w:pPr>
        <w:spacing w:after="0" w:line="240" w:lineRule="auto"/>
        <w:rPr>
          <w:kern w:val="0"/>
          <w:sz w:val="24"/>
          <w:szCs w:val="24"/>
        </w:rPr>
      </w:pPr>
    </w:p>
    <w:p w14:paraId="197F50BF" w14:textId="02CD3EFA" w:rsidR="0091104D" w:rsidRPr="0091104D" w:rsidRDefault="0091104D" w:rsidP="0091104D">
      <w:pPr>
        <w:spacing w:after="0" w:line="240" w:lineRule="auto"/>
        <w:rPr>
          <w:kern w:val="0"/>
          <w:sz w:val="24"/>
          <w:szCs w:val="24"/>
        </w:rPr>
      </w:pPr>
      <w:r w:rsidRPr="0091104D">
        <w:rPr>
          <w:kern w:val="0"/>
          <w:sz w:val="24"/>
          <w:szCs w:val="24"/>
        </w:rPr>
        <w:tab/>
      </w:r>
      <w:r w:rsidRPr="00605423">
        <w:rPr>
          <w:kern w:val="0"/>
          <w:sz w:val="24"/>
          <w:szCs w:val="24"/>
        </w:rPr>
        <w:t>Second</w:t>
      </w:r>
      <w:r w:rsidRPr="0091104D">
        <w:rPr>
          <w:kern w:val="0"/>
          <w:sz w:val="24"/>
          <w:szCs w:val="24"/>
        </w:rPr>
        <w:t>, an act by the plaintiff evidencing that intent.</w:t>
      </w:r>
    </w:p>
    <w:p w14:paraId="44496017" w14:textId="77777777" w:rsidR="0091104D" w:rsidRPr="0091104D" w:rsidRDefault="0091104D" w:rsidP="0091104D">
      <w:pPr>
        <w:spacing w:after="0" w:line="240" w:lineRule="auto"/>
        <w:rPr>
          <w:kern w:val="0"/>
          <w:sz w:val="24"/>
          <w:szCs w:val="24"/>
        </w:rPr>
      </w:pPr>
    </w:p>
    <w:p w14:paraId="4DF82EBE" w14:textId="77777777" w:rsidR="0091104D" w:rsidRPr="0091104D" w:rsidRDefault="0091104D" w:rsidP="0091104D">
      <w:pPr>
        <w:spacing w:after="0" w:line="240" w:lineRule="auto"/>
        <w:rPr>
          <w:kern w:val="0"/>
          <w:sz w:val="24"/>
          <w:szCs w:val="24"/>
        </w:rPr>
      </w:pPr>
      <w:r w:rsidRPr="0091104D">
        <w:rPr>
          <w:kern w:val="0"/>
          <w:sz w:val="24"/>
          <w:szCs w:val="24"/>
        </w:rPr>
        <w:tab/>
        <w:t>Mere inaction [or publication without a copyright notice] does not constitute abandonment of the copyright; however, [this may be a factor] [these may be factors] for you to consider in determining whether the plaintiff has abandoned the copyright.</w:t>
      </w:r>
    </w:p>
    <w:p w14:paraId="45260770" w14:textId="77777777" w:rsidR="0091104D" w:rsidRPr="0091104D" w:rsidRDefault="0091104D" w:rsidP="0091104D">
      <w:pPr>
        <w:spacing w:after="0" w:line="240" w:lineRule="auto"/>
        <w:rPr>
          <w:kern w:val="0"/>
          <w:sz w:val="24"/>
          <w:szCs w:val="24"/>
        </w:rPr>
      </w:pPr>
    </w:p>
    <w:p w14:paraId="5EF83A6A" w14:textId="6A090A53" w:rsidR="0091104D" w:rsidRPr="0091104D" w:rsidRDefault="0091104D" w:rsidP="0091104D">
      <w:pPr>
        <w:spacing w:after="0" w:line="240" w:lineRule="auto"/>
        <w:rPr>
          <w:kern w:val="0"/>
          <w:sz w:val="24"/>
          <w:szCs w:val="24"/>
        </w:rPr>
      </w:pPr>
      <w:r w:rsidRPr="0091104D">
        <w:rPr>
          <w:kern w:val="0"/>
          <w:sz w:val="24"/>
          <w:szCs w:val="24"/>
        </w:rPr>
        <w:tab/>
        <w:t>If you find that the plaintiff has proved [his] [her] [other pronoun] claim[s] in accordance with Instruction[s] [insert cross reference to the pertinent instructions on the plaintiff’s theory of infringement], your verdict should be for the plaintiff, unless you find that the defendant has proved each of the elements of this affirmative defense, in which case your verdict should be for the defendant.</w:t>
      </w:r>
    </w:p>
    <w:p w14:paraId="73E5CF78" w14:textId="77777777" w:rsidR="0091104D" w:rsidRPr="0091104D" w:rsidRDefault="0091104D" w:rsidP="0091104D">
      <w:pPr>
        <w:spacing w:after="0" w:line="240" w:lineRule="auto"/>
        <w:rPr>
          <w:kern w:val="0"/>
          <w:sz w:val="24"/>
          <w:szCs w:val="24"/>
        </w:rPr>
      </w:pPr>
    </w:p>
    <w:p w14:paraId="52551C10" w14:textId="77777777" w:rsidR="0091104D" w:rsidRPr="0091104D" w:rsidRDefault="0091104D" w:rsidP="0091104D">
      <w:pPr>
        <w:spacing w:after="0" w:line="240" w:lineRule="auto"/>
        <w:jc w:val="center"/>
        <w:rPr>
          <w:b/>
          <w:bCs/>
          <w:kern w:val="0"/>
          <w:sz w:val="24"/>
          <w:szCs w:val="24"/>
        </w:rPr>
      </w:pPr>
      <w:r w:rsidRPr="0091104D">
        <w:rPr>
          <w:b/>
          <w:bCs/>
          <w:kern w:val="0"/>
          <w:sz w:val="24"/>
          <w:szCs w:val="24"/>
        </w:rPr>
        <w:t>Comment</w:t>
      </w:r>
    </w:p>
    <w:p w14:paraId="26227A31" w14:textId="77777777" w:rsidR="0091104D" w:rsidRPr="0091104D" w:rsidRDefault="0091104D" w:rsidP="0091104D">
      <w:pPr>
        <w:spacing w:after="0" w:line="240" w:lineRule="auto"/>
        <w:rPr>
          <w:kern w:val="0"/>
          <w:sz w:val="24"/>
          <w:szCs w:val="24"/>
        </w:rPr>
      </w:pPr>
    </w:p>
    <w:p w14:paraId="13B65E41" w14:textId="1C2B4D7A" w:rsidR="0091104D" w:rsidRPr="0091104D" w:rsidRDefault="0091104D" w:rsidP="0091104D">
      <w:pPr>
        <w:spacing w:after="0" w:line="240" w:lineRule="auto"/>
        <w:rPr>
          <w:color w:val="FF0000"/>
          <w:kern w:val="0"/>
          <w:sz w:val="24"/>
          <w:szCs w:val="24"/>
        </w:rPr>
      </w:pPr>
      <w:r w:rsidRPr="0091104D">
        <w:rPr>
          <w:kern w:val="0"/>
          <w:sz w:val="24"/>
          <w:szCs w:val="24"/>
        </w:rPr>
        <w:tab/>
        <w:t xml:space="preserve">Abandonment is an affirmative defense. </w:t>
      </w:r>
      <w:r w:rsidRPr="0091104D">
        <w:rPr>
          <w:i/>
          <w:iCs/>
          <w:kern w:val="0"/>
          <w:sz w:val="24"/>
          <w:szCs w:val="24"/>
        </w:rPr>
        <w:t>See, e.g., A&amp;M Records, Inc. v. Napster, Inc.</w:t>
      </w:r>
      <w:r w:rsidRPr="0091104D">
        <w:rPr>
          <w:kern w:val="0"/>
          <w:sz w:val="24"/>
          <w:szCs w:val="24"/>
        </w:rPr>
        <w:t xml:space="preserve">, 239 F.3d 1004, 1026 (9th Cir. 2001); </w:t>
      </w:r>
      <w:r w:rsidRPr="0091104D">
        <w:rPr>
          <w:i/>
          <w:iCs/>
          <w:kern w:val="0"/>
          <w:sz w:val="24"/>
          <w:szCs w:val="24"/>
        </w:rPr>
        <w:t>Abend v. MCA, Inc</w:t>
      </w:r>
      <w:r w:rsidRPr="0091104D">
        <w:rPr>
          <w:kern w:val="0"/>
          <w:sz w:val="24"/>
          <w:szCs w:val="24"/>
        </w:rPr>
        <w:t xml:space="preserve">., 863 F.2d 1465, 1482 n.21 (9th Cir. 1988). </w:t>
      </w:r>
      <w:r w:rsidR="00BC5028" w:rsidRPr="00605423">
        <w:rPr>
          <w:kern w:val="0"/>
          <w:sz w:val="24"/>
          <w:szCs w:val="24"/>
        </w:rPr>
        <w:t xml:space="preserve">The Ninth Circuit adopted the doctrine of copyright abandonment in </w:t>
      </w:r>
      <w:proofErr w:type="spellStart"/>
      <w:r w:rsidR="00BC5028" w:rsidRPr="00605423">
        <w:rPr>
          <w:i/>
          <w:iCs/>
          <w:kern w:val="0"/>
          <w:sz w:val="24"/>
          <w:szCs w:val="24"/>
        </w:rPr>
        <w:t>Hamptom</w:t>
      </w:r>
      <w:proofErr w:type="spellEnd"/>
      <w:r w:rsidR="00BC5028" w:rsidRPr="00605423">
        <w:rPr>
          <w:i/>
          <w:iCs/>
          <w:kern w:val="0"/>
          <w:sz w:val="24"/>
          <w:szCs w:val="24"/>
        </w:rPr>
        <w:t xml:space="preserve"> v. Paramount Pictures Corp.</w:t>
      </w:r>
      <w:r w:rsidR="00BC5028" w:rsidRPr="00605423">
        <w:rPr>
          <w:kern w:val="0"/>
          <w:sz w:val="24"/>
          <w:szCs w:val="24"/>
        </w:rPr>
        <w:t xml:space="preserve">, 279 F.2d 100, 104 (9th Cir. 1960). </w:t>
      </w:r>
      <w:r w:rsidR="00BC5028" w:rsidRPr="00605423">
        <w:rPr>
          <w:i/>
          <w:iCs/>
          <w:kern w:val="0"/>
          <w:sz w:val="24"/>
          <w:szCs w:val="24"/>
        </w:rPr>
        <w:t>See Doc’s Dream, LLC v. Dolores Press, Inc.</w:t>
      </w:r>
      <w:r w:rsidR="00BC5028" w:rsidRPr="00605423">
        <w:rPr>
          <w:kern w:val="0"/>
          <w:sz w:val="24"/>
          <w:szCs w:val="24"/>
        </w:rPr>
        <w:t>, 959 F.3d 357, 362 (9th Cir. 2020).</w:t>
      </w:r>
    </w:p>
    <w:p w14:paraId="564A9CC8" w14:textId="77777777" w:rsidR="0091104D" w:rsidRPr="0091104D" w:rsidRDefault="0091104D" w:rsidP="0091104D">
      <w:pPr>
        <w:spacing w:after="0" w:line="240" w:lineRule="auto"/>
        <w:rPr>
          <w:kern w:val="0"/>
          <w:sz w:val="24"/>
          <w:szCs w:val="24"/>
        </w:rPr>
      </w:pPr>
      <w:r w:rsidRPr="0091104D">
        <w:rPr>
          <w:kern w:val="0"/>
          <w:sz w:val="24"/>
          <w:szCs w:val="24"/>
        </w:rPr>
        <w:tab/>
      </w:r>
    </w:p>
    <w:p w14:paraId="076D9534" w14:textId="77777777" w:rsidR="0091104D" w:rsidRPr="0091104D" w:rsidRDefault="0091104D" w:rsidP="0091104D">
      <w:pPr>
        <w:spacing w:after="0" w:line="240" w:lineRule="auto"/>
        <w:ind w:firstLine="720"/>
        <w:rPr>
          <w:kern w:val="0"/>
          <w:sz w:val="24"/>
          <w:szCs w:val="24"/>
        </w:rPr>
      </w:pPr>
      <w:r w:rsidRPr="0091104D">
        <w:rPr>
          <w:kern w:val="0"/>
          <w:sz w:val="24"/>
          <w:szCs w:val="24"/>
        </w:rPr>
        <w:t xml:space="preserve">Abandonment of a right secured by the Copyright Act must be manifested by an overt act indicating an intention to abandon that right. </w:t>
      </w:r>
      <w:r w:rsidRPr="0091104D">
        <w:rPr>
          <w:i/>
          <w:iCs/>
          <w:kern w:val="0"/>
          <w:sz w:val="24"/>
          <w:szCs w:val="24"/>
        </w:rPr>
        <w:t xml:space="preserve">Micro Star v. </w:t>
      </w:r>
      <w:proofErr w:type="spellStart"/>
      <w:r w:rsidRPr="0091104D">
        <w:rPr>
          <w:i/>
          <w:iCs/>
          <w:kern w:val="0"/>
          <w:sz w:val="24"/>
          <w:szCs w:val="24"/>
        </w:rPr>
        <w:t>Formgen</w:t>
      </w:r>
      <w:proofErr w:type="spellEnd"/>
      <w:r w:rsidRPr="0091104D">
        <w:rPr>
          <w:i/>
          <w:iCs/>
          <w:kern w:val="0"/>
          <w:sz w:val="24"/>
          <w:szCs w:val="24"/>
        </w:rPr>
        <w:t>, Inc.</w:t>
      </w:r>
      <w:r w:rsidRPr="0091104D">
        <w:rPr>
          <w:kern w:val="0"/>
          <w:sz w:val="24"/>
          <w:szCs w:val="24"/>
        </w:rPr>
        <w:t xml:space="preserve">, 154 F.3d 1107, 1114 (9th Cir. 1998). A copyright owner may abandon some rights and retain others. </w:t>
      </w:r>
      <w:r w:rsidRPr="0091104D">
        <w:rPr>
          <w:i/>
          <w:iCs/>
          <w:kern w:val="0"/>
          <w:sz w:val="24"/>
          <w:szCs w:val="24"/>
        </w:rPr>
        <w:t>Id.</w:t>
      </w:r>
      <w:r w:rsidRPr="0091104D">
        <w:rPr>
          <w:kern w:val="0"/>
          <w:sz w:val="24"/>
          <w:szCs w:val="24"/>
        </w:rPr>
        <w:t xml:space="preserve"> at 1114 (holding that license permitting creation of derivative works from software, but also providing </w:t>
      </w:r>
      <w:proofErr w:type="gramStart"/>
      <w:r w:rsidRPr="0091104D">
        <w:rPr>
          <w:kern w:val="0"/>
          <w:sz w:val="24"/>
          <w:szCs w:val="24"/>
        </w:rPr>
        <w:t>that licensees</w:t>
      </w:r>
      <w:proofErr w:type="gramEnd"/>
      <w:r w:rsidRPr="0091104D">
        <w:rPr>
          <w:kern w:val="0"/>
          <w:sz w:val="24"/>
          <w:szCs w:val="24"/>
        </w:rPr>
        <w:t xml:space="preserve"> not distribute derivative works commercially, did not abandon copyright holder’s rights to profit commercially from derivative works).</w:t>
      </w:r>
    </w:p>
    <w:p w14:paraId="120198A0" w14:textId="77777777" w:rsidR="0091104D" w:rsidRPr="0091104D" w:rsidRDefault="0091104D" w:rsidP="0091104D">
      <w:pPr>
        <w:spacing w:after="0" w:line="240" w:lineRule="auto"/>
        <w:rPr>
          <w:kern w:val="0"/>
          <w:sz w:val="24"/>
          <w:szCs w:val="24"/>
        </w:rPr>
      </w:pPr>
      <w:r w:rsidRPr="0091104D">
        <w:rPr>
          <w:kern w:val="0"/>
          <w:sz w:val="24"/>
          <w:szCs w:val="24"/>
        </w:rPr>
        <w:tab/>
      </w:r>
    </w:p>
    <w:p w14:paraId="11A7D4EE" w14:textId="77777777" w:rsidR="002961E4" w:rsidRPr="00BD0D76" w:rsidRDefault="002961E4" w:rsidP="002961E4">
      <w:pPr>
        <w:spacing w:after="0" w:line="240" w:lineRule="auto"/>
        <w:ind w:firstLine="720"/>
        <w:rPr>
          <w:kern w:val="0"/>
          <w:sz w:val="24"/>
          <w:szCs w:val="24"/>
        </w:rPr>
      </w:pPr>
      <w:r w:rsidRPr="00BD0D76">
        <w:rPr>
          <w:kern w:val="0"/>
          <w:sz w:val="24"/>
          <w:szCs w:val="24"/>
        </w:rPr>
        <w:t xml:space="preserve">The bracketed portion of the second paragraph pertaining to publication without copyright notice should be used if the copyright infringement action is brought under the 1909 Copyright Act. Under the Copyright Act of 1909, a federal copyright was secured by publishing a work with the proper notice. </w:t>
      </w:r>
      <w:r w:rsidRPr="00BD0D76">
        <w:rPr>
          <w:i/>
          <w:iCs/>
          <w:kern w:val="0"/>
          <w:sz w:val="24"/>
          <w:szCs w:val="24"/>
        </w:rPr>
        <w:t>La Cienega Music Co. v. ZZ Top</w:t>
      </w:r>
      <w:r w:rsidRPr="00BD0D76">
        <w:rPr>
          <w:kern w:val="0"/>
          <w:sz w:val="24"/>
          <w:szCs w:val="24"/>
        </w:rPr>
        <w:t xml:space="preserve">, 53 F.3d 950, 953 (9th Cir. 1995). Before publication, common law copyright protected a work from the time of its creation.  </w:t>
      </w:r>
      <w:r w:rsidRPr="00BD0D76">
        <w:rPr>
          <w:i/>
          <w:iCs/>
          <w:kern w:val="0"/>
          <w:sz w:val="24"/>
          <w:szCs w:val="24"/>
        </w:rPr>
        <w:t>Id.</w:t>
      </w:r>
    </w:p>
    <w:p w14:paraId="6EA06F45" w14:textId="77777777" w:rsidR="002961E4" w:rsidRPr="0091104D" w:rsidRDefault="002961E4" w:rsidP="002961E4">
      <w:pPr>
        <w:spacing w:after="0" w:line="240" w:lineRule="auto"/>
        <w:rPr>
          <w:color w:val="FF0000"/>
          <w:kern w:val="0"/>
          <w:sz w:val="24"/>
          <w:szCs w:val="24"/>
          <w:u w:val="single"/>
        </w:rPr>
      </w:pPr>
    </w:p>
    <w:p w14:paraId="1BD9AED8" w14:textId="3DF8AB23" w:rsidR="002961E4" w:rsidRPr="0091104D" w:rsidRDefault="002961E4" w:rsidP="002961E4">
      <w:pPr>
        <w:spacing w:after="0" w:line="240" w:lineRule="auto"/>
        <w:ind w:firstLine="720"/>
        <w:rPr>
          <w:color w:val="FF0000"/>
          <w:kern w:val="0"/>
          <w:sz w:val="24"/>
          <w:szCs w:val="24"/>
          <w:u w:val="single"/>
        </w:rPr>
      </w:pPr>
      <w:r w:rsidRPr="00BA504E">
        <w:rPr>
          <w:kern w:val="0"/>
          <w:sz w:val="24"/>
          <w:szCs w:val="24"/>
        </w:rPr>
        <w:t xml:space="preserve">Under the 1909 Copyright Act, if a work was published without notice, the author (1) failed to obtain a federal copyright, and (2) lost the common law copyright. </w:t>
      </w:r>
      <w:r w:rsidRPr="00BA504E">
        <w:rPr>
          <w:i/>
          <w:iCs/>
          <w:kern w:val="0"/>
          <w:sz w:val="24"/>
          <w:szCs w:val="24"/>
        </w:rPr>
        <w:t>See Twin Books Corp. v. Walt Disney Co.</w:t>
      </w:r>
      <w:r w:rsidRPr="00BA504E">
        <w:rPr>
          <w:kern w:val="0"/>
          <w:sz w:val="24"/>
          <w:szCs w:val="24"/>
        </w:rPr>
        <w:t>, 83 F.3d 1162, 1165 (9th Cir.</w:t>
      </w:r>
      <w:r w:rsidR="00ED69FA" w:rsidRPr="00BA504E">
        <w:rPr>
          <w:kern w:val="0"/>
          <w:sz w:val="24"/>
          <w:szCs w:val="24"/>
        </w:rPr>
        <w:t xml:space="preserve"> </w:t>
      </w:r>
      <w:r w:rsidRPr="00BA504E">
        <w:rPr>
          <w:kern w:val="0"/>
          <w:sz w:val="24"/>
          <w:szCs w:val="24"/>
        </w:rPr>
        <w:t xml:space="preserve">1996). When a copyright owner loses its </w:t>
      </w:r>
      <w:r w:rsidRPr="00BA504E">
        <w:rPr>
          <w:kern w:val="0"/>
          <w:sz w:val="24"/>
          <w:szCs w:val="24"/>
        </w:rPr>
        <w:lastRenderedPageBreak/>
        <w:t xml:space="preserve">rights in its work by publication without proper notice, the resulting loss is an involuntary forfeiture as opposed to abandonment. </w:t>
      </w:r>
      <w:r w:rsidRPr="00BA504E">
        <w:rPr>
          <w:i/>
          <w:iCs/>
          <w:kern w:val="0"/>
          <w:sz w:val="24"/>
          <w:szCs w:val="24"/>
        </w:rPr>
        <w:t xml:space="preserve">See </w:t>
      </w:r>
      <w:r w:rsidRPr="00BA504E">
        <w:rPr>
          <w:kern w:val="0"/>
          <w:sz w:val="24"/>
          <w:szCs w:val="24"/>
        </w:rPr>
        <w:t xml:space="preserve">William F. </w:t>
      </w:r>
      <w:proofErr w:type="spellStart"/>
      <w:r w:rsidRPr="00BA504E">
        <w:rPr>
          <w:kern w:val="0"/>
          <w:sz w:val="24"/>
          <w:szCs w:val="24"/>
        </w:rPr>
        <w:t>Patry</w:t>
      </w:r>
      <w:proofErr w:type="spellEnd"/>
      <w:r w:rsidRPr="00BA504E">
        <w:rPr>
          <w:kern w:val="0"/>
          <w:sz w:val="24"/>
          <w:szCs w:val="24"/>
        </w:rPr>
        <w:t xml:space="preserve">, 2 </w:t>
      </w:r>
      <w:proofErr w:type="spellStart"/>
      <w:r w:rsidRPr="00BA504E">
        <w:rPr>
          <w:i/>
          <w:iCs/>
          <w:kern w:val="0"/>
          <w:sz w:val="24"/>
          <w:szCs w:val="24"/>
        </w:rPr>
        <w:t>Patry</w:t>
      </w:r>
      <w:proofErr w:type="spellEnd"/>
      <w:r w:rsidRPr="00BA504E">
        <w:rPr>
          <w:i/>
          <w:iCs/>
          <w:kern w:val="0"/>
          <w:sz w:val="24"/>
          <w:szCs w:val="24"/>
        </w:rPr>
        <w:t xml:space="preserve"> on Copyright,</w:t>
      </w:r>
      <w:r w:rsidRPr="00BA504E">
        <w:rPr>
          <w:kern w:val="0"/>
          <w:sz w:val="24"/>
          <w:szCs w:val="24"/>
        </w:rPr>
        <w:t xml:space="preserve"> </w:t>
      </w:r>
      <w:r w:rsidRPr="00BA504E">
        <w:rPr>
          <w:rFonts w:cs="Times New Roman"/>
          <w:kern w:val="0"/>
          <w:sz w:val="24"/>
          <w:szCs w:val="24"/>
        </w:rPr>
        <w:t>§</w:t>
      </w:r>
      <w:r w:rsidRPr="00BA504E">
        <w:rPr>
          <w:kern w:val="0"/>
          <w:sz w:val="24"/>
          <w:szCs w:val="24"/>
        </w:rPr>
        <w:t> 5:155 (2023) (“Abandonment refers to deliberate acts taken by the copyright owner to disclaim its interest in a protected work</w:t>
      </w:r>
      <w:proofErr w:type="gramStart"/>
      <w:r w:rsidRPr="00BA504E">
        <w:rPr>
          <w:kern w:val="0"/>
          <w:sz w:val="24"/>
          <w:szCs w:val="24"/>
        </w:rPr>
        <w:t>. . . .</w:t>
      </w:r>
      <w:proofErr w:type="gramEnd"/>
      <w:r w:rsidRPr="00BA504E">
        <w:rPr>
          <w:kern w:val="0"/>
          <w:sz w:val="24"/>
          <w:szCs w:val="24"/>
        </w:rPr>
        <w:t xml:space="preserve"> Forfeiture occurs by operation of law, without regard to the copyright owner’s intent.”); </w:t>
      </w:r>
      <w:r w:rsidRPr="00BA504E">
        <w:rPr>
          <w:i/>
          <w:iCs/>
          <w:kern w:val="0"/>
          <w:sz w:val="24"/>
          <w:szCs w:val="24"/>
        </w:rPr>
        <w:t xml:space="preserve">American </w:t>
      </w:r>
      <w:proofErr w:type="spellStart"/>
      <w:r w:rsidRPr="00BA504E">
        <w:rPr>
          <w:i/>
          <w:iCs/>
          <w:kern w:val="0"/>
          <w:sz w:val="24"/>
          <w:szCs w:val="24"/>
        </w:rPr>
        <w:t>Vitagraph</w:t>
      </w:r>
      <w:proofErr w:type="spellEnd"/>
      <w:r w:rsidRPr="00BA504E">
        <w:rPr>
          <w:i/>
          <w:iCs/>
          <w:kern w:val="0"/>
          <w:sz w:val="24"/>
          <w:szCs w:val="24"/>
        </w:rPr>
        <w:t>, Inc. v. Levy</w:t>
      </w:r>
      <w:r w:rsidRPr="00BA504E">
        <w:rPr>
          <w:kern w:val="0"/>
          <w:sz w:val="24"/>
          <w:szCs w:val="24"/>
        </w:rPr>
        <w:t xml:space="preserve">, 659 F.2d 1023, 1026-27 (9th Cir. 1981) (citing </w:t>
      </w:r>
      <w:proofErr w:type="spellStart"/>
      <w:r w:rsidRPr="00BA504E">
        <w:rPr>
          <w:i/>
          <w:iCs/>
          <w:kern w:val="0"/>
          <w:sz w:val="24"/>
          <w:szCs w:val="24"/>
        </w:rPr>
        <w:t>Nat’l</w:t>
      </w:r>
      <w:proofErr w:type="spellEnd"/>
      <w:r w:rsidRPr="00BA504E">
        <w:rPr>
          <w:i/>
          <w:iCs/>
          <w:kern w:val="0"/>
          <w:sz w:val="24"/>
          <w:szCs w:val="24"/>
        </w:rPr>
        <w:t xml:space="preserve"> Comics </w:t>
      </w:r>
      <w:proofErr w:type="spellStart"/>
      <w:r w:rsidRPr="00BA504E">
        <w:rPr>
          <w:i/>
          <w:iCs/>
          <w:kern w:val="0"/>
          <w:sz w:val="24"/>
          <w:szCs w:val="24"/>
        </w:rPr>
        <w:t>Publ’ns</w:t>
      </w:r>
      <w:proofErr w:type="spellEnd"/>
      <w:r w:rsidRPr="00BA504E">
        <w:rPr>
          <w:i/>
          <w:iCs/>
          <w:kern w:val="0"/>
          <w:sz w:val="24"/>
          <w:szCs w:val="24"/>
        </w:rPr>
        <w:t xml:space="preserve">, Inc. v. Fawcett </w:t>
      </w:r>
      <w:proofErr w:type="spellStart"/>
      <w:r w:rsidRPr="00BA504E">
        <w:rPr>
          <w:i/>
          <w:iCs/>
          <w:kern w:val="0"/>
          <w:sz w:val="24"/>
          <w:szCs w:val="24"/>
        </w:rPr>
        <w:t>Publ’ns</w:t>
      </w:r>
      <w:proofErr w:type="spellEnd"/>
      <w:r w:rsidRPr="00BA504E">
        <w:rPr>
          <w:kern w:val="0"/>
          <w:sz w:val="24"/>
          <w:szCs w:val="24"/>
        </w:rPr>
        <w:t>, 191 F.2d 594, 599 (2d Cir. 1951),</w:t>
      </w:r>
      <w:r w:rsidRPr="00BA504E">
        <w:rPr>
          <w:i/>
          <w:iCs/>
          <w:kern w:val="0"/>
          <w:sz w:val="24"/>
          <w:szCs w:val="24"/>
        </w:rPr>
        <w:t xml:space="preserve"> supplemented sub nom. </w:t>
      </w:r>
      <w:proofErr w:type="spellStart"/>
      <w:r w:rsidRPr="00BA504E">
        <w:rPr>
          <w:i/>
          <w:iCs/>
          <w:kern w:val="0"/>
          <w:sz w:val="24"/>
          <w:szCs w:val="24"/>
        </w:rPr>
        <w:t>Nat’l</w:t>
      </w:r>
      <w:proofErr w:type="spellEnd"/>
      <w:r w:rsidRPr="00BA504E">
        <w:rPr>
          <w:i/>
          <w:iCs/>
          <w:kern w:val="0"/>
          <w:sz w:val="24"/>
          <w:szCs w:val="24"/>
        </w:rPr>
        <w:t xml:space="preserve"> Comics </w:t>
      </w:r>
      <w:proofErr w:type="spellStart"/>
      <w:r w:rsidRPr="00BA504E">
        <w:rPr>
          <w:i/>
          <w:iCs/>
          <w:kern w:val="0"/>
          <w:sz w:val="24"/>
          <w:szCs w:val="24"/>
        </w:rPr>
        <w:t>Publ’ns</w:t>
      </w:r>
      <w:proofErr w:type="spellEnd"/>
      <w:r w:rsidRPr="00BA504E">
        <w:rPr>
          <w:i/>
          <w:iCs/>
          <w:kern w:val="0"/>
          <w:sz w:val="24"/>
          <w:szCs w:val="24"/>
        </w:rPr>
        <w:t xml:space="preserve"> v. Fawcett </w:t>
      </w:r>
      <w:proofErr w:type="spellStart"/>
      <w:r w:rsidRPr="00BA504E">
        <w:rPr>
          <w:i/>
          <w:iCs/>
          <w:kern w:val="0"/>
          <w:sz w:val="24"/>
          <w:szCs w:val="24"/>
        </w:rPr>
        <w:t>Publ’ns</w:t>
      </w:r>
      <w:proofErr w:type="spellEnd"/>
      <w:r w:rsidRPr="00BA504E">
        <w:rPr>
          <w:kern w:val="0"/>
          <w:sz w:val="24"/>
          <w:szCs w:val="24"/>
        </w:rPr>
        <w:t>, 198 F.2d 927 (2d Cir. 1952)).</w:t>
      </w:r>
    </w:p>
    <w:p w14:paraId="11F32B19" w14:textId="017270DE" w:rsidR="00FE7F82" w:rsidRDefault="00FE7F82" w:rsidP="0091104D">
      <w:pPr>
        <w:spacing w:after="0" w:line="240" w:lineRule="auto"/>
        <w:rPr>
          <w:sz w:val="24"/>
          <w:szCs w:val="24"/>
        </w:rPr>
      </w:pPr>
    </w:p>
    <w:p w14:paraId="1E609B04" w14:textId="7E96AF17" w:rsidR="00B8500E" w:rsidRPr="00B8500E" w:rsidRDefault="00B8500E" w:rsidP="00B8500E">
      <w:pPr>
        <w:spacing w:after="0" w:line="240" w:lineRule="auto"/>
        <w:jc w:val="right"/>
        <w:rPr>
          <w:i/>
          <w:iCs/>
          <w:sz w:val="24"/>
          <w:szCs w:val="24"/>
        </w:rPr>
      </w:pPr>
      <w:r w:rsidRPr="00B8500E">
        <w:rPr>
          <w:i/>
          <w:iCs/>
          <w:sz w:val="24"/>
          <w:szCs w:val="24"/>
        </w:rPr>
        <w:t>Revised Dec. 2023</w:t>
      </w:r>
    </w:p>
    <w:sectPr w:rsidR="00B8500E" w:rsidRPr="00B85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4D"/>
    <w:rsid w:val="002961E4"/>
    <w:rsid w:val="00605423"/>
    <w:rsid w:val="00887257"/>
    <w:rsid w:val="0091104D"/>
    <w:rsid w:val="00B264B4"/>
    <w:rsid w:val="00B8500E"/>
    <w:rsid w:val="00BA504E"/>
    <w:rsid w:val="00BC5028"/>
    <w:rsid w:val="00BD0D76"/>
    <w:rsid w:val="00ED69FA"/>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C8E0"/>
  <w15:chartTrackingRefBased/>
  <w15:docId w15:val="{F2B9759C-0D7A-4AA9-B14A-10B98004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04D"/>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8500E"/>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9</cp:revision>
  <dcterms:created xsi:type="dcterms:W3CDTF">2024-02-04T01:44:00Z</dcterms:created>
  <dcterms:modified xsi:type="dcterms:W3CDTF">2024-03-25T18:09:00Z</dcterms:modified>
</cp:coreProperties>
</file>