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57966" w14:textId="77777777" w:rsidR="00A8749D" w:rsidRPr="00A8749D" w:rsidRDefault="00A8749D" w:rsidP="00A8749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kern w:val="0"/>
          <w:sz w:val="24"/>
          <w:szCs w:val="24"/>
        </w:rPr>
      </w:pPr>
      <w:r w:rsidRPr="00A8749D">
        <w:rPr>
          <w:rFonts w:cs="Times New Roman"/>
          <w:b/>
          <w:bCs/>
          <w:kern w:val="0"/>
          <w:sz w:val="24"/>
          <w:szCs w:val="24"/>
        </w:rPr>
        <w:t>17.25A Copyright—Affirmative Defense—Express License</w:t>
      </w:r>
    </w:p>
    <w:p w14:paraId="0B6F2A2E" w14:textId="77777777" w:rsidR="00A8749D" w:rsidRPr="00A8749D" w:rsidRDefault="00A8749D" w:rsidP="00A8749D">
      <w:pPr>
        <w:autoSpaceDE w:val="0"/>
        <w:autoSpaceDN w:val="0"/>
        <w:adjustRightInd w:val="0"/>
        <w:spacing w:after="0" w:line="240" w:lineRule="auto"/>
        <w:rPr>
          <w:rFonts w:cs="Times New Roman"/>
          <w:kern w:val="0"/>
          <w:sz w:val="24"/>
          <w:szCs w:val="24"/>
        </w:rPr>
      </w:pPr>
    </w:p>
    <w:p w14:paraId="3CAD2DDE" w14:textId="7CF5AEB7" w:rsidR="00A8749D" w:rsidRPr="00472FC7" w:rsidRDefault="00A8749D" w:rsidP="00A8749D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kern w:val="0"/>
          <w:sz w:val="24"/>
          <w:szCs w:val="24"/>
        </w:rPr>
      </w:pPr>
      <w:r w:rsidRPr="00A8749D">
        <w:rPr>
          <w:rFonts w:cs="Times New Roman"/>
          <w:kern w:val="0"/>
          <w:sz w:val="24"/>
          <w:szCs w:val="24"/>
        </w:rPr>
        <w:t xml:space="preserve">The defendant contends that [he] [she] [other </w:t>
      </w:r>
      <w:r w:rsidR="00472FC7" w:rsidRPr="00A8749D">
        <w:rPr>
          <w:rFonts w:cs="Times New Roman"/>
          <w:kern w:val="0"/>
          <w:sz w:val="24"/>
          <w:szCs w:val="24"/>
        </w:rPr>
        <w:t>pronoun] is</w:t>
      </w:r>
      <w:r w:rsidRPr="00A8749D">
        <w:rPr>
          <w:rFonts w:cs="Times New Roman"/>
          <w:kern w:val="0"/>
          <w:sz w:val="24"/>
          <w:szCs w:val="24"/>
        </w:rPr>
        <w:t xml:space="preserve"> not liable for copyright infringement because the plaintiff granted [him] [her] [other </w:t>
      </w:r>
      <w:proofErr w:type="gramStart"/>
      <w:r w:rsidRPr="00A8749D">
        <w:rPr>
          <w:rFonts w:cs="Times New Roman"/>
          <w:kern w:val="0"/>
          <w:sz w:val="24"/>
          <w:szCs w:val="24"/>
        </w:rPr>
        <w:t>pronoun]  an</w:t>
      </w:r>
      <w:proofErr w:type="gramEnd"/>
      <w:r w:rsidRPr="00A8749D">
        <w:rPr>
          <w:rFonts w:cs="Times New Roman"/>
          <w:kern w:val="0"/>
          <w:sz w:val="24"/>
          <w:szCs w:val="24"/>
        </w:rPr>
        <w:t xml:space="preserve"> express license</w:t>
      </w:r>
      <w:r w:rsidR="008F5E30" w:rsidRPr="00472FC7">
        <w:rPr>
          <w:rFonts w:cs="Times New Roman"/>
          <w:kern w:val="0"/>
          <w:sz w:val="24"/>
          <w:szCs w:val="24"/>
        </w:rPr>
        <w:t xml:space="preserve"> to [copy] [distribute] [use]</w:t>
      </w:r>
      <w:r w:rsidRPr="00472FC7">
        <w:rPr>
          <w:rFonts w:cs="Times New Roman"/>
          <w:kern w:val="0"/>
          <w:sz w:val="24"/>
          <w:szCs w:val="24"/>
        </w:rPr>
        <w:t>the plaintiff’s copyrighted work. The plaintiff cannot claim copyright infringement against a defendant who [copies] [distributes] [uses] the plaintiff’s copyrighted work if the plaintiff granted the defendant an express license to [copy] [distribute] [use] the work.</w:t>
      </w:r>
    </w:p>
    <w:p w14:paraId="5AC57670" w14:textId="32AA9556" w:rsidR="00A8749D" w:rsidRPr="00A8749D" w:rsidRDefault="008F5E30" w:rsidP="00A8749D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kern w:val="0"/>
          <w:sz w:val="24"/>
          <w:szCs w:val="24"/>
        </w:rPr>
      </w:pPr>
      <w:r w:rsidRPr="00472FC7">
        <w:rPr>
          <w:rFonts w:cs="Times New Roman"/>
          <w:kern w:val="0"/>
          <w:sz w:val="24"/>
          <w:szCs w:val="24"/>
        </w:rPr>
        <w:t>T</w:t>
      </w:r>
      <w:r w:rsidR="00A8749D" w:rsidRPr="00472FC7">
        <w:rPr>
          <w:rFonts w:cs="Times New Roman"/>
          <w:kern w:val="0"/>
          <w:sz w:val="24"/>
          <w:szCs w:val="24"/>
        </w:rPr>
        <w:t xml:space="preserve">o show the existence of an express license, the defendant has the burden of proving that </w:t>
      </w:r>
      <w:r w:rsidRPr="00472FC7">
        <w:rPr>
          <w:rFonts w:cs="Times New Roman"/>
          <w:kern w:val="0"/>
          <w:sz w:val="24"/>
          <w:szCs w:val="24"/>
        </w:rPr>
        <w:t>[he] [she] [other pronoun]</w:t>
      </w:r>
      <w:r w:rsidR="00472FC7">
        <w:rPr>
          <w:rFonts w:cs="Times New Roman"/>
          <w:kern w:val="0"/>
          <w:sz w:val="24"/>
          <w:szCs w:val="24"/>
        </w:rPr>
        <w:t xml:space="preserve"> </w:t>
      </w:r>
      <w:r w:rsidR="00A8749D" w:rsidRPr="00A8749D">
        <w:rPr>
          <w:rFonts w:cs="Times New Roman"/>
          <w:kern w:val="0"/>
          <w:sz w:val="24"/>
          <w:szCs w:val="24"/>
        </w:rPr>
        <w:t>received an express license to [copy] [distribute] [use] the plaintiff’s copyrighted work.</w:t>
      </w:r>
    </w:p>
    <w:p w14:paraId="645D89E4" w14:textId="77777777" w:rsidR="00A8749D" w:rsidRPr="00A8749D" w:rsidRDefault="00A8749D" w:rsidP="00A8749D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kern w:val="0"/>
          <w:sz w:val="24"/>
          <w:szCs w:val="24"/>
        </w:rPr>
      </w:pPr>
    </w:p>
    <w:p w14:paraId="737FDC8C" w14:textId="77777777" w:rsidR="00A8749D" w:rsidRPr="00A8749D" w:rsidRDefault="00A8749D" w:rsidP="00A8749D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kern w:val="0"/>
          <w:sz w:val="24"/>
          <w:szCs w:val="24"/>
        </w:rPr>
      </w:pPr>
      <w:r w:rsidRPr="00A8749D">
        <w:rPr>
          <w:rFonts w:cs="Times New Roman"/>
          <w:kern w:val="0"/>
          <w:sz w:val="24"/>
          <w:szCs w:val="24"/>
        </w:rPr>
        <w:t>If the defendant proves this, the burden shifts to the plaintiff to show that the defendant’s [copying] [distribution] [use] of the plaintiff’s copyrighted work exceeded the scope of the license.</w:t>
      </w:r>
    </w:p>
    <w:p w14:paraId="0B3CD635" w14:textId="77777777" w:rsidR="00A8749D" w:rsidRPr="00A8749D" w:rsidRDefault="00A8749D" w:rsidP="00A8749D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kern w:val="0"/>
          <w:sz w:val="24"/>
          <w:szCs w:val="24"/>
        </w:rPr>
      </w:pPr>
    </w:p>
    <w:p w14:paraId="37F25FBC" w14:textId="77777777" w:rsidR="00A8749D" w:rsidRPr="00A8749D" w:rsidRDefault="00A8749D" w:rsidP="00A8749D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kern w:val="0"/>
          <w:sz w:val="24"/>
          <w:szCs w:val="24"/>
        </w:rPr>
      </w:pPr>
      <w:r w:rsidRPr="00A8749D">
        <w:rPr>
          <w:rFonts w:cs="Times New Roman"/>
          <w:kern w:val="0"/>
          <w:sz w:val="24"/>
          <w:szCs w:val="24"/>
        </w:rPr>
        <w:t>[I have separately instructed you on the scope of the license agreement between the parties.]</w:t>
      </w:r>
    </w:p>
    <w:p w14:paraId="684F76C7" w14:textId="77777777" w:rsidR="00A8749D" w:rsidRPr="00A8749D" w:rsidRDefault="00A8749D" w:rsidP="00A8749D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kern w:val="0"/>
          <w:sz w:val="24"/>
          <w:szCs w:val="24"/>
        </w:rPr>
      </w:pPr>
    </w:p>
    <w:p w14:paraId="4B8C9512" w14:textId="54989530" w:rsidR="00A8749D" w:rsidRPr="00A8749D" w:rsidRDefault="00A8749D" w:rsidP="00A8749D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kern w:val="0"/>
          <w:sz w:val="24"/>
          <w:szCs w:val="24"/>
        </w:rPr>
      </w:pPr>
      <w:r w:rsidRPr="00A8749D">
        <w:rPr>
          <w:rFonts w:cs="Times New Roman"/>
          <w:kern w:val="0"/>
          <w:sz w:val="24"/>
          <w:szCs w:val="24"/>
        </w:rPr>
        <w:t xml:space="preserve">If you find that the defendant has proved that the plaintiff granted [him] [her] </w:t>
      </w:r>
      <w:r w:rsidR="008F5E30" w:rsidRPr="00A8749D">
        <w:rPr>
          <w:rFonts w:cs="Times New Roman"/>
          <w:kern w:val="0"/>
          <w:sz w:val="24"/>
          <w:szCs w:val="24"/>
        </w:rPr>
        <w:t>[other pronoun]</w:t>
      </w:r>
      <w:r w:rsidR="008F5E30" w:rsidRPr="00A8749D" w:rsidDel="00385D27">
        <w:rPr>
          <w:rFonts w:cs="Times New Roman"/>
          <w:kern w:val="0"/>
          <w:sz w:val="24"/>
          <w:szCs w:val="24"/>
        </w:rPr>
        <w:t xml:space="preserve"> </w:t>
      </w:r>
      <w:r w:rsidRPr="00A8749D">
        <w:rPr>
          <w:rFonts w:cs="Times New Roman"/>
          <w:kern w:val="0"/>
          <w:sz w:val="24"/>
          <w:szCs w:val="24"/>
        </w:rPr>
        <w:t>an express license to [copy] [distribute] [use] the copyrighted work, your verdict should be for the defendant [on that portion of the plaintiff’s copyright infringement claim], unless the plaintiff proves the defendant’s [copying] [distribution] [use] of the plaintiff’s copyrighted work exceeded the scope of the license. If the plaintiff proves this, your verdict must be for the plaintiff.</w:t>
      </w:r>
    </w:p>
    <w:p w14:paraId="6B3FB924" w14:textId="77777777" w:rsidR="00A8749D" w:rsidRPr="00A8749D" w:rsidRDefault="00A8749D" w:rsidP="00A8749D">
      <w:pPr>
        <w:autoSpaceDE w:val="0"/>
        <w:autoSpaceDN w:val="0"/>
        <w:adjustRightInd w:val="0"/>
        <w:spacing w:after="0" w:line="240" w:lineRule="auto"/>
        <w:rPr>
          <w:rFonts w:cs="Times New Roman"/>
          <w:kern w:val="0"/>
          <w:sz w:val="24"/>
          <w:szCs w:val="24"/>
        </w:rPr>
      </w:pPr>
    </w:p>
    <w:p w14:paraId="06AE7F9C" w14:textId="77777777" w:rsidR="00A8749D" w:rsidRPr="00A8749D" w:rsidRDefault="00A8749D" w:rsidP="00A8749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kern w:val="0"/>
          <w:sz w:val="24"/>
          <w:szCs w:val="24"/>
        </w:rPr>
      </w:pPr>
      <w:r w:rsidRPr="00A8749D">
        <w:rPr>
          <w:rFonts w:cs="Times New Roman"/>
          <w:b/>
          <w:bCs/>
          <w:kern w:val="0"/>
          <w:sz w:val="24"/>
          <w:szCs w:val="24"/>
        </w:rPr>
        <w:t>Comment</w:t>
      </w:r>
    </w:p>
    <w:p w14:paraId="6F623BF1" w14:textId="77777777" w:rsidR="00A8749D" w:rsidRPr="00472FC7" w:rsidRDefault="00A8749D" w:rsidP="00A8749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kern w:val="0"/>
          <w:sz w:val="24"/>
          <w:szCs w:val="24"/>
        </w:rPr>
      </w:pPr>
    </w:p>
    <w:p w14:paraId="26A27634" w14:textId="5FBD7403" w:rsidR="00A8749D" w:rsidRPr="00A8749D" w:rsidRDefault="008F5E30" w:rsidP="00A8749D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kern w:val="0"/>
          <w:sz w:val="24"/>
          <w:szCs w:val="24"/>
        </w:rPr>
      </w:pPr>
      <w:r w:rsidRPr="00472FC7">
        <w:rPr>
          <w:rFonts w:cs="Times New Roman"/>
          <w:kern w:val="0"/>
          <w:sz w:val="24"/>
          <w:szCs w:val="24"/>
        </w:rPr>
        <w:t xml:space="preserve">“An applicable license may be dispositive of an infringement claim.” </w:t>
      </w:r>
      <w:r w:rsidRPr="00472FC7">
        <w:rPr>
          <w:rFonts w:cs="Times New Roman"/>
          <w:i/>
          <w:iCs/>
          <w:kern w:val="0"/>
          <w:sz w:val="24"/>
          <w:szCs w:val="24"/>
        </w:rPr>
        <w:t>Oracle Am., Inc. v. Hewlett Packard Enter. Co.</w:t>
      </w:r>
      <w:r w:rsidRPr="00472FC7">
        <w:rPr>
          <w:rFonts w:cs="Times New Roman"/>
          <w:kern w:val="0"/>
          <w:sz w:val="24"/>
          <w:szCs w:val="24"/>
        </w:rPr>
        <w:t xml:space="preserve">, 971 F.3d 1042, 1051 (9th Cir. 2020). </w:t>
      </w:r>
      <w:r w:rsidR="00A8749D" w:rsidRPr="00472FC7">
        <w:rPr>
          <w:rFonts w:cs="Times New Roman"/>
          <w:kern w:val="0"/>
          <w:sz w:val="24"/>
          <w:szCs w:val="24"/>
        </w:rPr>
        <w:t xml:space="preserve">“Anyone who is authorized by the copyright owner to use the copyrighted work in a way specified in </w:t>
      </w:r>
      <w:r w:rsidRPr="00472FC7">
        <w:rPr>
          <w:rFonts w:cs="Times New Roman"/>
          <w:kern w:val="0"/>
          <w:sz w:val="24"/>
          <w:szCs w:val="24"/>
        </w:rPr>
        <w:t>[</w:t>
      </w:r>
      <w:r w:rsidR="00A8749D" w:rsidRPr="00472FC7">
        <w:rPr>
          <w:rFonts w:cs="Times New Roman"/>
          <w:kern w:val="0"/>
          <w:sz w:val="24"/>
          <w:szCs w:val="24"/>
        </w:rPr>
        <w:t>the</w:t>
      </w:r>
      <w:r w:rsidRPr="00472FC7">
        <w:rPr>
          <w:rFonts w:cs="Times New Roman"/>
          <w:kern w:val="0"/>
          <w:sz w:val="24"/>
          <w:szCs w:val="24"/>
        </w:rPr>
        <w:t xml:space="preserve"> Copyright Act]</w:t>
      </w:r>
      <w:r w:rsidRPr="00472FC7">
        <w:rPr>
          <w:rFonts w:cs="Times New Roman"/>
          <w:strike/>
          <w:kern w:val="0"/>
          <w:sz w:val="24"/>
          <w:szCs w:val="24"/>
        </w:rPr>
        <w:t xml:space="preserve"> </w:t>
      </w:r>
      <w:r w:rsidR="00A8749D" w:rsidRPr="00472FC7">
        <w:rPr>
          <w:rFonts w:cs="Times New Roman"/>
          <w:kern w:val="0"/>
          <w:sz w:val="24"/>
          <w:szCs w:val="24"/>
        </w:rPr>
        <w:t>. . . is not an infringer of the copyright with respect to such use.</w:t>
      </w:r>
      <w:r w:rsidRPr="00472FC7">
        <w:rPr>
          <w:rFonts w:cs="Times New Roman"/>
          <w:kern w:val="0"/>
          <w:sz w:val="24"/>
          <w:szCs w:val="24"/>
        </w:rPr>
        <w:t>”</w:t>
      </w:r>
      <w:r w:rsidR="00A8749D" w:rsidRPr="00472FC7">
        <w:rPr>
          <w:rFonts w:cs="Times New Roman"/>
          <w:kern w:val="0"/>
          <w:sz w:val="24"/>
          <w:szCs w:val="24"/>
        </w:rPr>
        <w:t xml:space="preserve"> </w:t>
      </w:r>
      <w:r w:rsidRPr="00472FC7">
        <w:rPr>
          <w:rFonts w:cs="Times New Roman"/>
          <w:i/>
          <w:iCs/>
          <w:kern w:val="0"/>
          <w:sz w:val="24"/>
          <w:szCs w:val="24"/>
        </w:rPr>
        <w:t xml:space="preserve">Id. </w:t>
      </w:r>
      <w:r w:rsidRPr="00472FC7">
        <w:rPr>
          <w:rFonts w:cs="Times New Roman"/>
          <w:kern w:val="0"/>
          <w:sz w:val="24"/>
          <w:szCs w:val="24"/>
        </w:rPr>
        <w:t>(quoting</w:t>
      </w:r>
      <w:r w:rsidRPr="00472FC7">
        <w:rPr>
          <w:rFonts w:cs="Times New Roman"/>
          <w:i/>
          <w:iCs/>
          <w:kern w:val="0"/>
          <w:sz w:val="24"/>
          <w:szCs w:val="24"/>
        </w:rPr>
        <w:t xml:space="preserve"> </w:t>
      </w:r>
      <w:r w:rsidR="00A8749D" w:rsidRPr="00472FC7">
        <w:rPr>
          <w:rFonts w:cs="Times New Roman"/>
          <w:i/>
          <w:iCs/>
          <w:kern w:val="0"/>
          <w:sz w:val="24"/>
          <w:szCs w:val="24"/>
        </w:rPr>
        <w:t>Sony Corp. of Am. v. Universal City Studios, Inc</w:t>
      </w:r>
      <w:r w:rsidR="00A8749D" w:rsidRPr="00472FC7">
        <w:rPr>
          <w:rFonts w:cs="Times New Roman"/>
          <w:kern w:val="0"/>
          <w:sz w:val="24"/>
          <w:szCs w:val="24"/>
        </w:rPr>
        <w:t xml:space="preserve">., 464 U.S. 417, 433 (1984)). “Thus, ‘[t]he existence of a license creates an affirmative defense to a claim of copyright infringement.’” </w:t>
      </w:r>
      <w:r w:rsidR="00A8749D" w:rsidRPr="00472FC7">
        <w:rPr>
          <w:rFonts w:cs="Times New Roman"/>
          <w:i/>
          <w:iCs/>
          <w:kern w:val="0"/>
          <w:sz w:val="24"/>
          <w:szCs w:val="24"/>
        </w:rPr>
        <w:t>Oracle USA, Inc. v. Rimini St., Inc</w:t>
      </w:r>
      <w:r w:rsidR="00A8749D" w:rsidRPr="00472FC7">
        <w:rPr>
          <w:rFonts w:cs="Times New Roman"/>
          <w:kern w:val="0"/>
          <w:sz w:val="24"/>
          <w:szCs w:val="24"/>
        </w:rPr>
        <w:t xml:space="preserve">., 879 F.3d 948, 954 (9th Cir. 2018) (quoting </w:t>
      </w:r>
      <w:r w:rsidR="00A8749D" w:rsidRPr="00472FC7">
        <w:rPr>
          <w:rFonts w:cs="Times New Roman"/>
          <w:i/>
          <w:iCs/>
          <w:kern w:val="0"/>
          <w:sz w:val="24"/>
          <w:szCs w:val="24"/>
        </w:rPr>
        <w:t>Worldwide Church of God v. Phila. Church of God, Inc</w:t>
      </w:r>
      <w:r w:rsidR="00A8749D" w:rsidRPr="00472FC7">
        <w:rPr>
          <w:rFonts w:cs="Times New Roman"/>
          <w:kern w:val="0"/>
          <w:sz w:val="24"/>
          <w:szCs w:val="24"/>
        </w:rPr>
        <w:t xml:space="preserve">., 227 F.3d 1110, 1114 (9th Cir. 2000)), </w:t>
      </w:r>
      <w:proofErr w:type="spellStart"/>
      <w:r w:rsidR="00A8749D" w:rsidRPr="00472FC7">
        <w:rPr>
          <w:rFonts w:cs="Times New Roman"/>
          <w:i/>
          <w:iCs/>
          <w:kern w:val="0"/>
          <w:sz w:val="24"/>
          <w:szCs w:val="24"/>
        </w:rPr>
        <w:t>rev’d</w:t>
      </w:r>
      <w:proofErr w:type="spellEnd"/>
      <w:r w:rsidR="00A8749D" w:rsidRPr="00472FC7">
        <w:rPr>
          <w:rFonts w:cs="Times New Roman"/>
          <w:i/>
          <w:iCs/>
          <w:kern w:val="0"/>
          <w:sz w:val="24"/>
          <w:szCs w:val="24"/>
        </w:rPr>
        <w:t xml:space="preserve"> on other grounds</w:t>
      </w:r>
      <w:r w:rsidR="00A8749D" w:rsidRPr="00472FC7">
        <w:rPr>
          <w:rFonts w:cs="Times New Roman"/>
          <w:kern w:val="0"/>
          <w:sz w:val="24"/>
          <w:szCs w:val="24"/>
        </w:rPr>
        <w:t xml:space="preserve">, 139 S. Ct. 873 (2019). A claim for copyright infringement fails “if the challenged use of the work falls within the scope of a valid license.” </w:t>
      </w:r>
      <w:r w:rsidR="00A8749D" w:rsidRPr="00472FC7">
        <w:rPr>
          <w:rFonts w:cs="Times New Roman"/>
          <w:i/>
          <w:iCs/>
          <w:kern w:val="0"/>
          <w:sz w:val="24"/>
          <w:szCs w:val="24"/>
        </w:rPr>
        <w:t>Great Minds v. Office Depot</w:t>
      </w:r>
      <w:r w:rsidRPr="00472FC7">
        <w:rPr>
          <w:rFonts w:cs="Times New Roman"/>
          <w:i/>
          <w:iCs/>
          <w:kern w:val="0"/>
          <w:sz w:val="24"/>
          <w:szCs w:val="24"/>
        </w:rPr>
        <w:t>, Inc.</w:t>
      </w:r>
      <w:r w:rsidR="00A8749D" w:rsidRPr="00472FC7">
        <w:rPr>
          <w:rFonts w:cs="Times New Roman"/>
          <w:kern w:val="0"/>
          <w:sz w:val="24"/>
          <w:szCs w:val="24"/>
        </w:rPr>
        <w:t xml:space="preserve">, 945 F.3d 1106, 1110 (9th Cir. 2019) (citation omitted). </w:t>
      </w:r>
      <w:r w:rsidRPr="00472FC7">
        <w:rPr>
          <w:rFonts w:cs="Times New Roman"/>
          <w:kern w:val="0"/>
          <w:sz w:val="24"/>
          <w:szCs w:val="24"/>
        </w:rPr>
        <w:t>But a licensee is liable for infringement if its use of the work “</w:t>
      </w:r>
      <w:r w:rsidR="00A8749D" w:rsidRPr="00A8749D">
        <w:rPr>
          <w:rFonts w:cs="Times New Roman"/>
          <w:kern w:val="0"/>
          <w:sz w:val="24"/>
          <w:szCs w:val="24"/>
        </w:rPr>
        <w:t>exceeds the scope of the license granted by the copyright holder</w:t>
      </w:r>
      <w:r w:rsidRPr="00472FC7">
        <w:rPr>
          <w:rFonts w:cs="Times New Roman"/>
          <w:kern w:val="0"/>
          <w:sz w:val="24"/>
          <w:szCs w:val="24"/>
        </w:rPr>
        <w:t>.”</w:t>
      </w:r>
      <w:r w:rsidR="00A8749D" w:rsidRPr="00472FC7">
        <w:rPr>
          <w:rFonts w:cs="Times New Roman"/>
          <w:kern w:val="0"/>
          <w:sz w:val="24"/>
          <w:szCs w:val="24"/>
        </w:rPr>
        <w:t xml:space="preserve"> </w:t>
      </w:r>
      <w:r w:rsidR="00A8749D" w:rsidRPr="00A8749D">
        <w:rPr>
          <w:rFonts w:cs="Times New Roman"/>
          <w:i/>
          <w:iCs/>
          <w:kern w:val="0"/>
          <w:sz w:val="24"/>
          <w:szCs w:val="24"/>
        </w:rPr>
        <w:t>Oracle USA, Inc</w:t>
      </w:r>
      <w:r w:rsidR="00A8749D" w:rsidRPr="00A8749D">
        <w:rPr>
          <w:rFonts w:cs="Times New Roman"/>
          <w:kern w:val="0"/>
          <w:sz w:val="24"/>
          <w:szCs w:val="24"/>
        </w:rPr>
        <w:t xml:space="preserve">., 879 F.3d at 954 (quoting </w:t>
      </w:r>
      <w:r w:rsidR="00A8749D" w:rsidRPr="00A8749D">
        <w:rPr>
          <w:rFonts w:cs="Times New Roman"/>
          <w:i/>
          <w:iCs/>
          <w:kern w:val="0"/>
          <w:sz w:val="24"/>
          <w:szCs w:val="24"/>
        </w:rPr>
        <w:t>LGS Architects, Inc. v. Concordia Homes of Nev</w:t>
      </w:r>
      <w:r w:rsidR="00A8749D" w:rsidRPr="00A8749D">
        <w:rPr>
          <w:rFonts w:cs="Times New Roman"/>
          <w:kern w:val="0"/>
          <w:sz w:val="24"/>
          <w:szCs w:val="24"/>
        </w:rPr>
        <w:t>., 434 F.3d 1150, 1156 (9th Cir. 2006)).</w:t>
      </w:r>
    </w:p>
    <w:p w14:paraId="419D60DD" w14:textId="77777777" w:rsidR="00A8749D" w:rsidRPr="00A8749D" w:rsidRDefault="00A8749D" w:rsidP="00A8749D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kern w:val="0"/>
          <w:sz w:val="24"/>
          <w:szCs w:val="24"/>
        </w:rPr>
      </w:pPr>
    </w:p>
    <w:p w14:paraId="4D99CC0F" w14:textId="2E6DEB59" w:rsidR="00A8749D" w:rsidRPr="00472FC7" w:rsidRDefault="00A8749D" w:rsidP="00A8749D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trike/>
          <w:kern w:val="0"/>
          <w:sz w:val="24"/>
          <w:szCs w:val="24"/>
        </w:rPr>
      </w:pPr>
      <w:r w:rsidRPr="00A8749D">
        <w:rPr>
          <w:rFonts w:cs="Times New Roman"/>
          <w:kern w:val="0"/>
          <w:sz w:val="24"/>
          <w:szCs w:val="24"/>
        </w:rPr>
        <w:t>The trial court should modify this instruction as necessary to reflect the nature of the</w:t>
      </w:r>
      <w:r w:rsidRPr="00A8749D">
        <w:rPr>
          <w:rFonts w:cs="Times New Roman"/>
          <w:i/>
          <w:iCs/>
          <w:kern w:val="0"/>
          <w:sz w:val="24"/>
          <w:szCs w:val="24"/>
        </w:rPr>
        <w:t xml:space="preserve"> </w:t>
      </w:r>
      <w:r w:rsidRPr="00A8749D">
        <w:rPr>
          <w:rFonts w:cs="Times New Roman"/>
          <w:kern w:val="0"/>
          <w:sz w:val="24"/>
          <w:szCs w:val="24"/>
        </w:rPr>
        <w:t>defendant’s alleged copyright infringement. In a case in which the defendant claims to have</w:t>
      </w:r>
      <w:r w:rsidRPr="00A8749D">
        <w:rPr>
          <w:rFonts w:cs="Times New Roman"/>
          <w:i/>
          <w:iCs/>
          <w:kern w:val="0"/>
          <w:sz w:val="24"/>
          <w:szCs w:val="24"/>
        </w:rPr>
        <w:t xml:space="preserve"> </w:t>
      </w:r>
      <w:r w:rsidRPr="00A8749D">
        <w:rPr>
          <w:rFonts w:cs="Times New Roman"/>
          <w:kern w:val="0"/>
          <w:sz w:val="24"/>
          <w:szCs w:val="24"/>
        </w:rPr>
        <w:t>acted under an express license, it is likely that the trial court will need to construe the terms of</w:t>
      </w:r>
      <w:r w:rsidRPr="00A8749D">
        <w:rPr>
          <w:rFonts w:cs="Times New Roman"/>
          <w:i/>
          <w:iCs/>
          <w:kern w:val="0"/>
          <w:sz w:val="24"/>
          <w:szCs w:val="24"/>
        </w:rPr>
        <w:t xml:space="preserve"> </w:t>
      </w:r>
      <w:r w:rsidRPr="00A8749D">
        <w:rPr>
          <w:rFonts w:cs="Times New Roman"/>
          <w:kern w:val="0"/>
          <w:sz w:val="24"/>
          <w:szCs w:val="24"/>
        </w:rPr>
        <w:t xml:space="preserve">the license for the jury. </w:t>
      </w:r>
      <w:r w:rsidRPr="00A8749D">
        <w:rPr>
          <w:rFonts w:cs="Times New Roman"/>
          <w:i/>
          <w:iCs/>
          <w:kern w:val="0"/>
          <w:sz w:val="24"/>
          <w:szCs w:val="24"/>
        </w:rPr>
        <w:t>See, e.g.</w:t>
      </w:r>
      <w:r w:rsidRPr="00A8749D">
        <w:rPr>
          <w:rFonts w:cs="Times New Roman"/>
          <w:kern w:val="0"/>
          <w:sz w:val="24"/>
          <w:szCs w:val="24"/>
        </w:rPr>
        <w:t xml:space="preserve">, </w:t>
      </w:r>
      <w:r w:rsidRPr="00A8749D">
        <w:rPr>
          <w:rFonts w:cs="Times New Roman"/>
          <w:i/>
          <w:iCs/>
          <w:kern w:val="0"/>
          <w:sz w:val="24"/>
          <w:szCs w:val="24"/>
        </w:rPr>
        <w:t>id</w:t>
      </w:r>
      <w:r w:rsidRPr="00A8749D">
        <w:rPr>
          <w:rFonts w:cs="Times New Roman"/>
          <w:kern w:val="0"/>
          <w:sz w:val="24"/>
          <w:szCs w:val="24"/>
        </w:rPr>
        <w:t>. at 955, 958. Federal courts “rely on state law to provide the</w:t>
      </w:r>
      <w:r w:rsidRPr="00A8749D">
        <w:rPr>
          <w:rFonts w:cs="Times New Roman"/>
          <w:i/>
          <w:iCs/>
          <w:kern w:val="0"/>
          <w:sz w:val="24"/>
          <w:szCs w:val="24"/>
        </w:rPr>
        <w:t xml:space="preserve"> </w:t>
      </w:r>
      <w:r w:rsidRPr="00A8749D">
        <w:rPr>
          <w:rFonts w:cs="Times New Roman"/>
          <w:kern w:val="0"/>
          <w:sz w:val="24"/>
          <w:szCs w:val="24"/>
        </w:rPr>
        <w:lastRenderedPageBreak/>
        <w:t xml:space="preserve">canons of contractual construction, but only to the extent such rules do not interfere with federal copyright law or policy.” </w:t>
      </w:r>
      <w:r w:rsidRPr="00A8749D">
        <w:rPr>
          <w:rFonts w:cs="Times New Roman"/>
          <w:i/>
          <w:iCs/>
          <w:kern w:val="0"/>
          <w:sz w:val="24"/>
          <w:szCs w:val="24"/>
        </w:rPr>
        <w:t>Great Minds</w:t>
      </w:r>
      <w:r w:rsidRPr="00A8749D">
        <w:rPr>
          <w:rFonts w:cs="Times New Roman"/>
          <w:kern w:val="0"/>
          <w:sz w:val="24"/>
          <w:szCs w:val="24"/>
        </w:rPr>
        <w:t>, 945 F.3d at 1110 (quoting</w:t>
      </w:r>
      <w:r w:rsidRPr="00472FC7">
        <w:rPr>
          <w:rFonts w:cs="Times New Roman"/>
          <w:kern w:val="0"/>
          <w:sz w:val="24"/>
          <w:szCs w:val="24"/>
        </w:rPr>
        <w:t xml:space="preserve"> </w:t>
      </w:r>
      <w:r w:rsidR="008F5E30" w:rsidRPr="00472FC7">
        <w:rPr>
          <w:rFonts w:cs="Times New Roman"/>
          <w:i/>
          <w:iCs/>
          <w:kern w:val="0"/>
          <w:sz w:val="24"/>
          <w:szCs w:val="24"/>
        </w:rPr>
        <w:t>S.O.S., Inc. v. Payday, Inc.</w:t>
      </w:r>
      <w:r w:rsidR="008F5E30" w:rsidRPr="00472FC7">
        <w:rPr>
          <w:rFonts w:cs="Times New Roman"/>
          <w:kern w:val="0"/>
          <w:sz w:val="24"/>
          <w:szCs w:val="24"/>
        </w:rPr>
        <w:t>, 886 F.2d 1081, 1088 (9th Cir. 1989)).</w:t>
      </w:r>
    </w:p>
    <w:p w14:paraId="765764AC" w14:textId="20064A81" w:rsidR="00FE7F82" w:rsidRDefault="00FE7F82" w:rsidP="00A8749D">
      <w:pPr>
        <w:spacing w:after="0" w:line="240" w:lineRule="auto"/>
        <w:rPr>
          <w:sz w:val="24"/>
          <w:szCs w:val="24"/>
        </w:rPr>
      </w:pPr>
    </w:p>
    <w:p w14:paraId="3AE46944" w14:textId="77777777" w:rsidR="00A8749D" w:rsidRPr="00A8749D" w:rsidRDefault="00A8749D" w:rsidP="00A8749D">
      <w:pPr>
        <w:spacing w:after="0" w:line="240" w:lineRule="auto"/>
        <w:jc w:val="right"/>
        <w:rPr>
          <w:i/>
          <w:iCs/>
          <w:sz w:val="24"/>
          <w:szCs w:val="24"/>
        </w:rPr>
      </w:pPr>
      <w:r w:rsidRPr="00A8749D">
        <w:rPr>
          <w:i/>
          <w:iCs/>
          <w:sz w:val="24"/>
          <w:szCs w:val="24"/>
        </w:rPr>
        <w:t>Revised Dec. 2023</w:t>
      </w:r>
    </w:p>
    <w:sectPr w:rsidR="00A8749D" w:rsidRPr="00A874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49D"/>
    <w:rsid w:val="00472FC7"/>
    <w:rsid w:val="00791F36"/>
    <w:rsid w:val="00887257"/>
    <w:rsid w:val="008F5E30"/>
    <w:rsid w:val="00A8749D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D2A69"/>
  <w15:chartTrackingRefBased/>
  <w15:docId w15:val="{CE857901-344A-49FD-9974-2D5148A7E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49D"/>
    <w:rPr>
      <w:rFonts w:ascii="Times New Roman" w:hAnsi="Times New Roman"/>
      <w:kern w:val="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8749D"/>
    <w:pPr>
      <w:spacing w:after="0" w:line="240" w:lineRule="auto"/>
    </w:pPr>
    <w:rPr>
      <w:rFonts w:ascii="Times New Roman" w:hAnsi="Times New Roman"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507</Words>
  <Characters>2894</Characters>
  <Application>Microsoft Office Word</Application>
  <DocSecurity>0</DocSecurity>
  <Lines>24</Lines>
  <Paragraphs>6</Paragraphs>
  <ScaleCrop>false</ScaleCrop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Aejung Yoon</dc:creator>
  <cp:keywords/>
  <dc:description/>
  <cp:lastModifiedBy>Samriddhi Rana</cp:lastModifiedBy>
  <cp:revision>4</cp:revision>
  <dcterms:created xsi:type="dcterms:W3CDTF">2024-02-04T01:50:00Z</dcterms:created>
  <dcterms:modified xsi:type="dcterms:W3CDTF">2024-03-25T18:18:00Z</dcterms:modified>
</cp:coreProperties>
</file>