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3F82" w14:textId="77777777" w:rsidR="00CA76DB" w:rsidRPr="00CA76DB" w:rsidRDefault="00CA76DB" w:rsidP="00CA76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  <w:r w:rsidRPr="00CA76DB">
        <w:rPr>
          <w:rFonts w:cs="Times New Roman"/>
          <w:b/>
          <w:bCs/>
          <w:kern w:val="0"/>
          <w:sz w:val="24"/>
          <w:szCs w:val="24"/>
        </w:rPr>
        <w:t>17.26 Copyright—Affirmative Defense—First Sale</w:t>
      </w:r>
    </w:p>
    <w:p w14:paraId="77DE2FAC" w14:textId="77777777" w:rsidR="00CA76DB" w:rsidRPr="00CA76DB" w:rsidRDefault="00CA76DB" w:rsidP="00CA76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  <w:r w:rsidRPr="00CA76DB">
        <w:rPr>
          <w:rFonts w:cs="Times New Roman"/>
          <w:b/>
          <w:bCs/>
          <w:kern w:val="0"/>
          <w:sz w:val="24"/>
          <w:szCs w:val="24"/>
        </w:rPr>
        <w:t>(17 U.S.C. § 109(a))</w:t>
      </w:r>
    </w:p>
    <w:p w14:paraId="21D7C456" w14:textId="77777777" w:rsidR="00CA76DB" w:rsidRPr="00CA76DB" w:rsidRDefault="00CA76DB" w:rsidP="00CA76DB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6D93CB9D" w14:textId="2061D360" w:rsidR="00CA76DB" w:rsidRPr="00CA76DB" w:rsidRDefault="00CA76DB" w:rsidP="00CA76D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CA76DB">
        <w:rPr>
          <w:rFonts w:cs="Times New Roman"/>
          <w:kern w:val="0"/>
          <w:sz w:val="24"/>
          <w:szCs w:val="24"/>
        </w:rPr>
        <w:t xml:space="preserve">The defendant contends that [he] [she] [other </w:t>
      </w:r>
      <w:r w:rsidR="000237DA" w:rsidRPr="00CA76DB">
        <w:rPr>
          <w:rFonts w:cs="Times New Roman"/>
          <w:kern w:val="0"/>
          <w:sz w:val="24"/>
          <w:szCs w:val="24"/>
        </w:rPr>
        <w:t>pronoun] is</w:t>
      </w:r>
      <w:r w:rsidRPr="00CA76DB">
        <w:rPr>
          <w:rFonts w:cs="Times New Roman"/>
          <w:kern w:val="0"/>
          <w:sz w:val="24"/>
          <w:szCs w:val="24"/>
        </w:rPr>
        <w:t xml:space="preserve"> not liable for copyright infringement for [reselling] [redistributing] a particular copy of the plaintiff’s copyrighted work because the plaintiff sold or otherwise transferred ownership of that copy. The plaintiff may not claim copyright infringement for subsequent distributions of </w:t>
      </w:r>
      <w:r w:rsidR="00AE10C7" w:rsidRPr="007E358A">
        <w:rPr>
          <w:rFonts w:cs="Times New Roman"/>
          <w:kern w:val="0"/>
          <w:sz w:val="24"/>
          <w:szCs w:val="24"/>
        </w:rPr>
        <w:t>a copy that it sold or otherwise transferred ownership of</w:t>
      </w:r>
      <w:r w:rsidRPr="00CA76DB">
        <w:rPr>
          <w:rFonts w:cs="Times New Roman"/>
          <w:kern w:val="0"/>
          <w:sz w:val="24"/>
          <w:szCs w:val="24"/>
        </w:rPr>
        <w:t>. [The defendant may invoke this [“first sale”] defense only if [he] [she] [other pronoun]  is an owner of a particular copy of the plaintiff’s copyrighted work, and not a licensee.]</w:t>
      </w:r>
    </w:p>
    <w:p w14:paraId="59F744F6" w14:textId="77777777" w:rsidR="00CA76DB" w:rsidRPr="00CA76DB" w:rsidRDefault="00CA76DB" w:rsidP="00CA76D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</w:p>
    <w:p w14:paraId="7E1D862D" w14:textId="2657B905" w:rsidR="00CA76DB" w:rsidRPr="00CA76DB" w:rsidRDefault="00CA76DB" w:rsidP="00CA76D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CA76DB">
        <w:rPr>
          <w:rFonts w:cs="Times New Roman"/>
          <w:kern w:val="0"/>
          <w:sz w:val="24"/>
          <w:szCs w:val="24"/>
        </w:rPr>
        <w:t xml:space="preserve">If you find that the defendant was an owner </w:t>
      </w:r>
      <w:r w:rsidRPr="007E358A">
        <w:rPr>
          <w:rFonts w:cs="Times New Roman"/>
          <w:kern w:val="0"/>
          <w:sz w:val="24"/>
          <w:szCs w:val="24"/>
        </w:rPr>
        <w:t>of</w:t>
      </w:r>
      <w:r w:rsidR="00AE10C7" w:rsidRPr="007E358A">
        <w:rPr>
          <w:rFonts w:cs="Times New Roman"/>
          <w:kern w:val="0"/>
          <w:sz w:val="24"/>
          <w:szCs w:val="24"/>
        </w:rPr>
        <w:t xml:space="preserve"> a</w:t>
      </w:r>
      <w:r w:rsidRPr="007E358A">
        <w:rPr>
          <w:rFonts w:cs="Times New Roman"/>
          <w:kern w:val="0"/>
          <w:sz w:val="24"/>
          <w:szCs w:val="24"/>
        </w:rPr>
        <w:t xml:space="preserve"> </w:t>
      </w:r>
      <w:r w:rsidRPr="00CA76DB">
        <w:rPr>
          <w:rFonts w:cs="Times New Roman"/>
          <w:kern w:val="0"/>
          <w:sz w:val="24"/>
          <w:szCs w:val="24"/>
        </w:rPr>
        <w:t>particular copy of the plaintiff’s copyrighted work and that the plaintiff sold or otherwise transferred ownership of that particular copy, your verdict should be for the defendant on</w:t>
      </w:r>
      <w:r w:rsidR="00AE10C7">
        <w:rPr>
          <w:rFonts w:cs="Times New Roman"/>
          <w:kern w:val="0"/>
          <w:sz w:val="24"/>
          <w:szCs w:val="24"/>
        </w:rPr>
        <w:t xml:space="preserve"> the </w:t>
      </w:r>
      <w:r w:rsidRPr="00CA76DB">
        <w:rPr>
          <w:rFonts w:cs="Times New Roman"/>
          <w:kern w:val="0"/>
          <w:sz w:val="24"/>
          <w:szCs w:val="24"/>
        </w:rPr>
        <w:t>plaintiff’s copyright infringement claim.</w:t>
      </w:r>
    </w:p>
    <w:p w14:paraId="4DB1735E" w14:textId="77777777" w:rsidR="00CA76DB" w:rsidRPr="00CA76DB" w:rsidRDefault="00CA76DB" w:rsidP="00CA76DB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2BA3C347" w14:textId="77777777" w:rsidR="00CA76DB" w:rsidRPr="00CA76DB" w:rsidRDefault="00CA76DB" w:rsidP="00CA76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 w:val="24"/>
          <w:szCs w:val="24"/>
        </w:rPr>
      </w:pPr>
      <w:r w:rsidRPr="00CA76DB">
        <w:rPr>
          <w:rFonts w:cs="Times New Roman"/>
          <w:b/>
          <w:bCs/>
          <w:kern w:val="0"/>
          <w:sz w:val="24"/>
          <w:szCs w:val="24"/>
        </w:rPr>
        <w:t>Comment</w:t>
      </w:r>
    </w:p>
    <w:p w14:paraId="4487445F" w14:textId="77777777" w:rsidR="00CA76DB" w:rsidRPr="00CA76DB" w:rsidRDefault="00CA76DB" w:rsidP="00CA76D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kern w:val="0"/>
          <w:sz w:val="24"/>
          <w:szCs w:val="24"/>
        </w:rPr>
      </w:pPr>
    </w:p>
    <w:p w14:paraId="1456D897" w14:textId="29CE84CF" w:rsidR="00CA76DB" w:rsidRPr="00CA76DB" w:rsidRDefault="00CA76DB" w:rsidP="00CA76D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CA76DB">
        <w:rPr>
          <w:rFonts w:cs="Times New Roman"/>
          <w:kern w:val="0"/>
          <w:sz w:val="24"/>
          <w:szCs w:val="24"/>
        </w:rPr>
        <w:t xml:space="preserve">The first sale doctrine is an affirmative defense to copyright infringement. </w:t>
      </w:r>
      <w:proofErr w:type="spellStart"/>
      <w:r w:rsidRPr="00CA76DB">
        <w:rPr>
          <w:rFonts w:cs="Times New Roman"/>
          <w:i/>
          <w:iCs/>
          <w:kern w:val="0"/>
          <w:sz w:val="24"/>
          <w:szCs w:val="24"/>
        </w:rPr>
        <w:t>Bobbs</w:t>
      </w:r>
      <w:proofErr w:type="spellEnd"/>
      <w:r w:rsidRPr="00CA76DB">
        <w:rPr>
          <w:rFonts w:cs="Times New Roman"/>
          <w:i/>
          <w:iCs/>
          <w:kern w:val="0"/>
          <w:sz w:val="24"/>
          <w:szCs w:val="24"/>
        </w:rPr>
        <w:t>-Merrill Co. v. Straus</w:t>
      </w:r>
      <w:r w:rsidRPr="00CA76DB">
        <w:rPr>
          <w:rFonts w:cs="Times New Roman"/>
          <w:kern w:val="0"/>
          <w:sz w:val="24"/>
          <w:szCs w:val="24"/>
        </w:rPr>
        <w:t xml:space="preserve">, 210 U.S. 339, 350-51 (1908) (articulating first sale doctrine); </w:t>
      </w:r>
      <w:proofErr w:type="spellStart"/>
      <w:r w:rsidRPr="00CA76DB">
        <w:rPr>
          <w:rFonts w:cs="Times New Roman"/>
          <w:i/>
          <w:iCs/>
          <w:kern w:val="0"/>
          <w:sz w:val="24"/>
          <w:szCs w:val="24"/>
        </w:rPr>
        <w:t>Vernor</w:t>
      </w:r>
      <w:proofErr w:type="spellEnd"/>
      <w:r w:rsidRPr="00CA76DB">
        <w:rPr>
          <w:rFonts w:cs="Times New Roman"/>
          <w:i/>
          <w:iCs/>
          <w:kern w:val="0"/>
          <w:sz w:val="24"/>
          <w:szCs w:val="24"/>
        </w:rPr>
        <w:t xml:space="preserve"> v. Autodesk, Inc.</w:t>
      </w:r>
      <w:r w:rsidRPr="00CA76DB">
        <w:rPr>
          <w:rFonts w:cs="Times New Roman"/>
          <w:kern w:val="0"/>
          <w:sz w:val="24"/>
          <w:szCs w:val="24"/>
        </w:rPr>
        <w:t>, 621 F.3d 1102, 1107 (9th Cir. 2010). The doctrine “allows owners of copies of copyrighted</w:t>
      </w:r>
      <w:r w:rsidRPr="00CA76DB">
        <w:rPr>
          <w:rFonts w:cs="Times New Roman"/>
          <w:i/>
          <w:iCs/>
          <w:kern w:val="0"/>
          <w:sz w:val="24"/>
          <w:szCs w:val="24"/>
        </w:rPr>
        <w:t xml:space="preserve"> </w:t>
      </w:r>
      <w:r w:rsidRPr="00CA76DB">
        <w:rPr>
          <w:rFonts w:cs="Times New Roman"/>
          <w:kern w:val="0"/>
          <w:sz w:val="24"/>
          <w:szCs w:val="24"/>
        </w:rPr>
        <w:t>works to resell those copies,” including copies lawfully made abroad, by limiting the copyright</w:t>
      </w:r>
      <w:r w:rsidRPr="00CA76DB">
        <w:rPr>
          <w:rFonts w:cs="Times New Roman"/>
          <w:i/>
          <w:iCs/>
          <w:kern w:val="0"/>
          <w:sz w:val="24"/>
          <w:szCs w:val="24"/>
        </w:rPr>
        <w:t xml:space="preserve"> </w:t>
      </w:r>
      <w:r w:rsidRPr="00CA76DB">
        <w:rPr>
          <w:rFonts w:cs="Times New Roman"/>
          <w:kern w:val="0"/>
          <w:sz w:val="24"/>
          <w:szCs w:val="24"/>
        </w:rPr>
        <w:t xml:space="preserve">holder’s exclusive distribution right to the first sale. </w:t>
      </w:r>
      <w:r w:rsidRPr="00CA76DB">
        <w:rPr>
          <w:rFonts w:cs="Times New Roman"/>
          <w:i/>
          <w:iCs/>
          <w:kern w:val="0"/>
          <w:sz w:val="24"/>
          <w:szCs w:val="24"/>
        </w:rPr>
        <w:t xml:space="preserve">Id. </w:t>
      </w:r>
      <w:r w:rsidRPr="00CA76DB">
        <w:rPr>
          <w:rFonts w:cs="Times New Roman"/>
          <w:kern w:val="0"/>
          <w:sz w:val="24"/>
          <w:szCs w:val="24"/>
        </w:rPr>
        <w:t xml:space="preserve">at 1106-07; </w:t>
      </w:r>
      <w:proofErr w:type="spellStart"/>
      <w:r w:rsidRPr="00CA76DB">
        <w:rPr>
          <w:rFonts w:cs="Times New Roman"/>
          <w:i/>
          <w:iCs/>
          <w:kern w:val="0"/>
          <w:sz w:val="24"/>
          <w:szCs w:val="24"/>
        </w:rPr>
        <w:t>Kirtsaeng</w:t>
      </w:r>
      <w:proofErr w:type="spellEnd"/>
      <w:r w:rsidRPr="00CA76DB">
        <w:rPr>
          <w:rFonts w:cs="Times New Roman"/>
          <w:i/>
          <w:iCs/>
          <w:kern w:val="0"/>
          <w:sz w:val="24"/>
          <w:szCs w:val="24"/>
        </w:rPr>
        <w:t xml:space="preserve"> v. John Wiley &amp; Sons</w:t>
      </w:r>
      <w:r w:rsidR="00AE10C7" w:rsidRPr="007E358A">
        <w:rPr>
          <w:rFonts w:cs="Times New Roman"/>
          <w:kern w:val="0"/>
          <w:sz w:val="24"/>
          <w:szCs w:val="24"/>
        </w:rPr>
        <w:t xml:space="preserve">, </w:t>
      </w:r>
      <w:r w:rsidR="00AE10C7" w:rsidRPr="007E358A">
        <w:rPr>
          <w:rFonts w:cs="Times New Roman"/>
          <w:i/>
          <w:iCs/>
          <w:kern w:val="0"/>
          <w:sz w:val="24"/>
          <w:szCs w:val="24"/>
        </w:rPr>
        <w:t>Inc.</w:t>
      </w:r>
      <w:r w:rsidR="00AE10C7" w:rsidRPr="007E358A">
        <w:rPr>
          <w:rFonts w:cs="Times New Roman"/>
          <w:kern w:val="0"/>
          <w:sz w:val="24"/>
          <w:szCs w:val="24"/>
        </w:rPr>
        <w:t xml:space="preserve">, 568 U.S. 519, 529-30 </w:t>
      </w:r>
      <w:r w:rsidRPr="007E358A">
        <w:rPr>
          <w:rFonts w:cs="Times New Roman"/>
          <w:kern w:val="0"/>
          <w:sz w:val="24"/>
          <w:szCs w:val="24"/>
        </w:rPr>
        <w:t>(2013);</w:t>
      </w:r>
      <w:r w:rsidR="00AE10C7" w:rsidRPr="007E358A">
        <w:rPr>
          <w:rFonts w:cs="Times New Roman"/>
          <w:i/>
          <w:iCs/>
          <w:kern w:val="0"/>
          <w:sz w:val="24"/>
          <w:szCs w:val="24"/>
        </w:rPr>
        <w:t xml:space="preserve"> see also</w:t>
      </w:r>
      <w:r w:rsidR="00AE10C7" w:rsidRPr="007E358A">
        <w:rPr>
          <w:rFonts w:cs="Times New Roman"/>
          <w:kern w:val="0"/>
          <w:sz w:val="24"/>
          <w:szCs w:val="24"/>
        </w:rPr>
        <w:t xml:space="preserve"> </w:t>
      </w:r>
      <w:r w:rsidRPr="007E358A">
        <w:rPr>
          <w:rFonts w:cs="Times New Roman"/>
          <w:i/>
          <w:iCs/>
          <w:kern w:val="0"/>
          <w:sz w:val="24"/>
          <w:szCs w:val="24"/>
        </w:rPr>
        <w:t>Omega S.A. v. Costco Wholesale Corp.</w:t>
      </w:r>
      <w:r w:rsidRPr="007E358A">
        <w:rPr>
          <w:rFonts w:cs="Times New Roman"/>
          <w:kern w:val="0"/>
          <w:sz w:val="24"/>
          <w:szCs w:val="24"/>
        </w:rPr>
        <w:t>, 776 F.3d</w:t>
      </w:r>
      <w:r w:rsidRPr="007E358A">
        <w:rPr>
          <w:rFonts w:cs="Times New Roman"/>
          <w:i/>
          <w:iCs/>
          <w:kern w:val="0"/>
          <w:sz w:val="24"/>
          <w:szCs w:val="24"/>
        </w:rPr>
        <w:t xml:space="preserve"> </w:t>
      </w:r>
      <w:r w:rsidRPr="007E358A">
        <w:rPr>
          <w:rFonts w:cs="Times New Roman"/>
          <w:kern w:val="0"/>
          <w:sz w:val="24"/>
          <w:szCs w:val="24"/>
        </w:rPr>
        <w:t>692</w:t>
      </w:r>
      <w:r w:rsidR="00AE10C7" w:rsidRPr="007E358A">
        <w:rPr>
          <w:rFonts w:cs="Times New Roman"/>
          <w:kern w:val="0"/>
          <w:sz w:val="24"/>
          <w:szCs w:val="24"/>
        </w:rPr>
        <w:t>, 695</w:t>
      </w:r>
      <w:r w:rsidRPr="007E358A">
        <w:rPr>
          <w:rFonts w:cs="Times New Roman"/>
          <w:kern w:val="0"/>
          <w:sz w:val="24"/>
          <w:szCs w:val="24"/>
        </w:rPr>
        <w:t xml:space="preserve"> (9th Cir. 2015) (holding that watch manufacturer had no infringement cause of action</w:t>
      </w:r>
      <w:r w:rsidRPr="007E358A">
        <w:rPr>
          <w:rFonts w:cs="Times New Roman"/>
          <w:i/>
          <w:iCs/>
          <w:kern w:val="0"/>
          <w:sz w:val="24"/>
          <w:szCs w:val="24"/>
        </w:rPr>
        <w:t xml:space="preserve"> </w:t>
      </w:r>
      <w:r w:rsidRPr="007E358A">
        <w:rPr>
          <w:rFonts w:cs="Times New Roman"/>
          <w:kern w:val="0"/>
          <w:sz w:val="24"/>
          <w:szCs w:val="24"/>
        </w:rPr>
        <w:t>because its rights to control importation and distribution of its copyrighted work expired after</w:t>
      </w:r>
      <w:r w:rsidR="00AE10C7" w:rsidRPr="007E358A">
        <w:rPr>
          <w:rFonts w:cs="Times New Roman"/>
          <w:kern w:val="0"/>
          <w:sz w:val="24"/>
          <w:szCs w:val="24"/>
        </w:rPr>
        <w:t xml:space="preserve"> the </w:t>
      </w:r>
      <w:r w:rsidRPr="007E358A">
        <w:rPr>
          <w:rFonts w:cs="Times New Roman"/>
          <w:kern w:val="0"/>
          <w:sz w:val="24"/>
          <w:szCs w:val="24"/>
        </w:rPr>
        <w:t>a</w:t>
      </w:r>
      <w:r w:rsidRPr="00CA76DB">
        <w:rPr>
          <w:rFonts w:cs="Times New Roman"/>
          <w:kern w:val="0"/>
          <w:sz w:val="24"/>
          <w:szCs w:val="24"/>
        </w:rPr>
        <w:t xml:space="preserve">uthorized first sale); </w:t>
      </w:r>
      <w:r w:rsidRPr="00CA76DB">
        <w:rPr>
          <w:rFonts w:cs="Times New Roman"/>
          <w:i/>
          <w:iCs/>
          <w:kern w:val="0"/>
          <w:sz w:val="24"/>
          <w:szCs w:val="24"/>
        </w:rPr>
        <w:t>UMG Recordings, Inc. v. Augusto</w:t>
      </w:r>
      <w:r w:rsidRPr="00CA76DB">
        <w:rPr>
          <w:rFonts w:cs="Times New Roman"/>
          <w:kern w:val="0"/>
          <w:sz w:val="24"/>
          <w:szCs w:val="24"/>
        </w:rPr>
        <w:t>, 628 F.3d 1175, 1179 (9th Cir. 2011) (“Notwithstanding its distinctive name, the [first sale] doctrine applies not only when a copy is first sold, but when a copy is given away or title is otherwise transferred without the accouterments of a sale.”).</w:t>
      </w:r>
    </w:p>
    <w:p w14:paraId="62BFD7CB" w14:textId="77777777" w:rsidR="00CA76DB" w:rsidRPr="00CA76DB" w:rsidRDefault="00CA76DB" w:rsidP="00CA76DB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</w:p>
    <w:p w14:paraId="04045127" w14:textId="4926CF30" w:rsidR="00FE7F82" w:rsidRPr="007E358A" w:rsidRDefault="00CA76DB" w:rsidP="00CA76DB">
      <w:pPr>
        <w:spacing w:after="0" w:line="240" w:lineRule="auto"/>
        <w:ind w:firstLine="720"/>
        <w:rPr>
          <w:rFonts w:cs="Times New Roman"/>
          <w:kern w:val="0"/>
          <w:sz w:val="24"/>
          <w:szCs w:val="24"/>
        </w:rPr>
      </w:pPr>
      <w:r w:rsidRPr="00CA76DB">
        <w:rPr>
          <w:rFonts w:cs="Times New Roman"/>
          <w:kern w:val="0"/>
          <w:sz w:val="24"/>
          <w:szCs w:val="24"/>
        </w:rPr>
        <w:t xml:space="preserve">The first sale defense is unavailable to those who have only a license to use the copyrighted work. </w:t>
      </w:r>
      <w:proofErr w:type="spellStart"/>
      <w:r w:rsidRPr="00CA76DB">
        <w:rPr>
          <w:rFonts w:cs="Times New Roman"/>
          <w:i/>
          <w:iCs/>
          <w:kern w:val="0"/>
          <w:sz w:val="24"/>
          <w:szCs w:val="24"/>
        </w:rPr>
        <w:t>Vernor</w:t>
      </w:r>
      <w:proofErr w:type="spellEnd"/>
      <w:r w:rsidRPr="00CA76DB">
        <w:rPr>
          <w:rFonts w:cs="Times New Roman"/>
          <w:kern w:val="0"/>
          <w:sz w:val="24"/>
          <w:szCs w:val="24"/>
        </w:rPr>
        <w:t xml:space="preserve">, 621 F.3d at 1107. For an analysis of the owner versus licensee distinction, </w:t>
      </w:r>
      <w:r w:rsidRPr="00CA76DB">
        <w:rPr>
          <w:rFonts w:cs="Times New Roman"/>
          <w:i/>
          <w:iCs/>
          <w:kern w:val="0"/>
          <w:sz w:val="24"/>
          <w:szCs w:val="24"/>
        </w:rPr>
        <w:t>see Adobe Systems Inc. v. Christenson</w:t>
      </w:r>
      <w:r w:rsidRPr="00CA76DB">
        <w:rPr>
          <w:rFonts w:cs="Times New Roman"/>
          <w:kern w:val="0"/>
          <w:sz w:val="24"/>
          <w:szCs w:val="24"/>
        </w:rPr>
        <w:t xml:space="preserve">, 809 F.3d 1071, 1078 (9th Cir. 2015) (analyzing distinction with respect to computer software); </w:t>
      </w:r>
      <w:r w:rsidRPr="00CA76DB">
        <w:rPr>
          <w:rFonts w:cs="Times New Roman"/>
          <w:i/>
          <w:iCs/>
          <w:kern w:val="0"/>
          <w:sz w:val="24"/>
          <w:szCs w:val="24"/>
        </w:rPr>
        <w:t>UMG Recordings</w:t>
      </w:r>
      <w:r w:rsidRPr="00CA76DB">
        <w:rPr>
          <w:rFonts w:cs="Times New Roman"/>
          <w:kern w:val="0"/>
          <w:sz w:val="24"/>
          <w:szCs w:val="24"/>
        </w:rPr>
        <w:t>, 628 F.3d at 1180-</w:t>
      </w:r>
      <w:r w:rsidRPr="007E358A">
        <w:rPr>
          <w:rFonts w:cs="Times New Roman"/>
          <w:kern w:val="0"/>
          <w:sz w:val="24"/>
          <w:szCs w:val="24"/>
        </w:rPr>
        <w:t>83 (analyzing distinction with respect to recipients of promotional music</w:t>
      </w:r>
      <w:r w:rsidR="00AE10C7" w:rsidRPr="007E358A">
        <w:rPr>
          <w:rFonts w:cs="Times New Roman"/>
          <w:kern w:val="0"/>
          <w:sz w:val="24"/>
          <w:szCs w:val="24"/>
        </w:rPr>
        <w:t xml:space="preserve"> CDs</w:t>
      </w:r>
      <w:r w:rsidRPr="007E358A">
        <w:rPr>
          <w:rFonts w:cs="Times New Roman"/>
          <w:kern w:val="0"/>
          <w:sz w:val="24"/>
          <w:szCs w:val="24"/>
        </w:rPr>
        <w:t xml:space="preserve">); </w:t>
      </w:r>
      <w:r w:rsidRPr="007E358A">
        <w:rPr>
          <w:rFonts w:cs="Times New Roman"/>
          <w:i/>
          <w:iCs/>
          <w:kern w:val="0"/>
          <w:sz w:val="24"/>
          <w:szCs w:val="24"/>
        </w:rPr>
        <w:t xml:space="preserve">Apple Inc. v. </w:t>
      </w:r>
      <w:proofErr w:type="spellStart"/>
      <w:r w:rsidRPr="007E358A">
        <w:rPr>
          <w:rFonts w:cs="Times New Roman"/>
          <w:i/>
          <w:iCs/>
          <w:kern w:val="0"/>
          <w:sz w:val="24"/>
          <w:szCs w:val="24"/>
        </w:rPr>
        <w:t>Psystar</w:t>
      </w:r>
      <w:proofErr w:type="spellEnd"/>
      <w:r w:rsidRPr="007E358A">
        <w:rPr>
          <w:rFonts w:cs="Times New Roman"/>
          <w:i/>
          <w:iCs/>
          <w:kern w:val="0"/>
          <w:sz w:val="24"/>
          <w:szCs w:val="24"/>
        </w:rPr>
        <w:t xml:space="preserve"> Corp.</w:t>
      </w:r>
      <w:r w:rsidRPr="007E358A">
        <w:rPr>
          <w:rFonts w:cs="Times New Roman"/>
          <w:kern w:val="0"/>
          <w:sz w:val="24"/>
          <w:szCs w:val="24"/>
        </w:rPr>
        <w:t>, 658 F.3d 1150, 1155</w:t>
      </w:r>
      <w:r w:rsidR="00AE10C7" w:rsidRPr="007E358A">
        <w:rPr>
          <w:rFonts w:cs="Times New Roman"/>
          <w:kern w:val="0"/>
          <w:sz w:val="24"/>
          <w:szCs w:val="24"/>
        </w:rPr>
        <w:t>-56</w:t>
      </w:r>
      <w:r w:rsidRPr="007E358A">
        <w:rPr>
          <w:rFonts w:cs="Times New Roman"/>
          <w:kern w:val="0"/>
          <w:sz w:val="24"/>
          <w:szCs w:val="24"/>
        </w:rPr>
        <w:t xml:space="preserve"> (9th Cir. 2011) (involving computer software);</w:t>
      </w:r>
      <w:r w:rsidRPr="007E358A">
        <w:rPr>
          <w:rFonts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7E358A">
        <w:rPr>
          <w:rFonts w:cs="Times New Roman"/>
          <w:i/>
          <w:iCs/>
          <w:kern w:val="0"/>
          <w:sz w:val="24"/>
          <w:szCs w:val="24"/>
        </w:rPr>
        <w:t>Vernor</w:t>
      </w:r>
      <w:proofErr w:type="spellEnd"/>
      <w:r w:rsidRPr="007E358A">
        <w:rPr>
          <w:rFonts w:cs="Times New Roman"/>
          <w:kern w:val="0"/>
          <w:sz w:val="24"/>
          <w:szCs w:val="24"/>
        </w:rPr>
        <w:t>, 621 F.3d at 1111</w:t>
      </w:r>
      <w:r w:rsidR="00AE10C7" w:rsidRPr="007E358A">
        <w:rPr>
          <w:rFonts w:cs="Times New Roman"/>
          <w:kern w:val="0"/>
          <w:sz w:val="24"/>
          <w:szCs w:val="24"/>
        </w:rPr>
        <w:t>-12</w:t>
      </w:r>
      <w:r w:rsidRPr="007E358A">
        <w:rPr>
          <w:rFonts w:cs="Times New Roman"/>
          <w:kern w:val="0"/>
          <w:sz w:val="24"/>
          <w:szCs w:val="24"/>
        </w:rPr>
        <w:t xml:space="preserve"> (involving computer software); and </w:t>
      </w:r>
      <w:r w:rsidRPr="007E358A">
        <w:rPr>
          <w:rFonts w:cs="Times New Roman"/>
          <w:i/>
          <w:iCs/>
          <w:kern w:val="0"/>
          <w:sz w:val="24"/>
          <w:szCs w:val="24"/>
        </w:rPr>
        <w:t>United States v. Wise</w:t>
      </w:r>
      <w:r w:rsidRPr="007E358A">
        <w:rPr>
          <w:rFonts w:cs="Times New Roman"/>
          <w:kern w:val="0"/>
          <w:sz w:val="24"/>
          <w:szCs w:val="24"/>
        </w:rPr>
        <w:t>, 550 F.2d</w:t>
      </w:r>
      <w:r w:rsidRPr="007E358A">
        <w:rPr>
          <w:rFonts w:cs="Times New Roman"/>
          <w:i/>
          <w:iCs/>
          <w:kern w:val="0"/>
          <w:sz w:val="24"/>
          <w:szCs w:val="24"/>
        </w:rPr>
        <w:t xml:space="preserve"> </w:t>
      </w:r>
      <w:r w:rsidRPr="007E358A">
        <w:rPr>
          <w:rFonts w:cs="Times New Roman"/>
          <w:kern w:val="0"/>
          <w:sz w:val="24"/>
          <w:szCs w:val="24"/>
        </w:rPr>
        <w:t>1180, 11</w:t>
      </w:r>
      <w:r w:rsidR="00AE10C7" w:rsidRPr="007E358A">
        <w:rPr>
          <w:rFonts w:cs="Times New Roman"/>
          <w:kern w:val="0"/>
          <w:sz w:val="24"/>
          <w:szCs w:val="24"/>
        </w:rPr>
        <w:t>90-92</w:t>
      </w:r>
      <w:r w:rsidRPr="007E358A">
        <w:rPr>
          <w:rFonts w:cs="Times New Roman"/>
          <w:kern w:val="0"/>
          <w:sz w:val="24"/>
          <w:szCs w:val="24"/>
        </w:rPr>
        <w:t xml:space="preserve"> (9th Cir. 1977) (involving motion picture</w:t>
      </w:r>
      <w:r w:rsidR="00AE10C7" w:rsidRPr="007E358A">
        <w:rPr>
          <w:rFonts w:cs="Times New Roman"/>
          <w:kern w:val="0"/>
          <w:sz w:val="24"/>
          <w:szCs w:val="24"/>
        </w:rPr>
        <w:t>s in the criminal context</w:t>
      </w:r>
      <w:r w:rsidRPr="007E358A">
        <w:rPr>
          <w:rFonts w:cs="Times New Roman"/>
          <w:kern w:val="0"/>
          <w:sz w:val="24"/>
          <w:szCs w:val="24"/>
        </w:rPr>
        <w:t xml:space="preserve">). </w:t>
      </w:r>
      <w:r w:rsidR="00AE10C7" w:rsidRPr="007E358A">
        <w:rPr>
          <w:rFonts w:cs="Times New Roman"/>
          <w:kern w:val="0"/>
          <w:sz w:val="24"/>
          <w:szCs w:val="24"/>
        </w:rPr>
        <w:t xml:space="preserve"> The party asserting the first sale defense has the initial burden of proving “ownership through lawful acquisition.” </w:t>
      </w:r>
      <w:r w:rsidR="00AE10C7" w:rsidRPr="007E358A">
        <w:rPr>
          <w:rFonts w:cs="Times New Roman"/>
          <w:i/>
          <w:iCs/>
          <w:kern w:val="0"/>
          <w:sz w:val="24"/>
          <w:szCs w:val="24"/>
        </w:rPr>
        <w:t>Adobe</w:t>
      </w:r>
      <w:r w:rsidR="00AE10C7" w:rsidRPr="007E358A">
        <w:rPr>
          <w:rFonts w:cs="Times New Roman"/>
          <w:kern w:val="0"/>
          <w:sz w:val="24"/>
          <w:szCs w:val="24"/>
        </w:rPr>
        <w:t xml:space="preserve">, 809 F.3d at 1078-79. If the plaintiff contends that the defendant could not have owned the work, then the plaintiff must prove “a license or the absence of a sale.” </w:t>
      </w:r>
      <w:r w:rsidR="00AE10C7" w:rsidRPr="007E358A">
        <w:rPr>
          <w:rFonts w:cs="Times New Roman"/>
          <w:i/>
          <w:iCs/>
          <w:kern w:val="0"/>
          <w:sz w:val="24"/>
          <w:szCs w:val="24"/>
        </w:rPr>
        <w:t>Id.</w:t>
      </w:r>
      <w:r w:rsidR="00AE10C7" w:rsidRPr="007E358A">
        <w:rPr>
          <w:rFonts w:cs="Times New Roman"/>
          <w:kern w:val="0"/>
          <w:sz w:val="24"/>
          <w:szCs w:val="24"/>
        </w:rPr>
        <w:t xml:space="preserve"> at 1079.</w:t>
      </w:r>
    </w:p>
    <w:p w14:paraId="35E8F481" w14:textId="0294C805" w:rsidR="00CA76DB" w:rsidRDefault="00CA76DB" w:rsidP="00CA76DB">
      <w:pPr>
        <w:spacing w:after="0" w:line="240" w:lineRule="auto"/>
        <w:ind w:firstLine="720"/>
        <w:rPr>
          <w:rFonts w:cs="Times New Roman"/>
          <w:color w:val="FF0000"/>
          <w:kern w:val="0"/>
          <w:sz w:val="24"/>
          <w:szCs w:val="24"/>
          <w:u w:val="single"/>
        </w:rPr>
      </w:pPr>
    </w:p>
    <w:p w14:paraId="20CA2662" w14:textId="27862DFC" w:rsidR="00CA76DB" w:rsidRPr="00CA76DB" w:rsidRDefault="00CA76DB" w:rsidP="00CA76DB">
      <w:pPr>
        <w:spacing w:after="0" w:line="240" w:lineRule="auto"/>
        <w:jc w:val="right"/>
        <w:rPr>
          <w:i/>
          <w:iCs/>
          <w:sz w:val="24"/>
          <w:szCs w:val="24"/>
        </w:rPr>
      </w:pPr>
      <w:r w:rsidRPr="00CA76DB">
        <w:rPr>
          <w:i/>
          <w:iCs/>
          <w:sz w:val="24"/>
          <w:szCs w:val="24"/>
        </w:rPr>
        <w:t>Revised Dec. 2023</w:t>
      </w:r>
    </w:p>
    <w:sectPr w:rsidR="00CA76DB" w:rsidRPr="00CA7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DB"/>
    <w:rsid w:val="000237DA"/>
    <w:rsid w:val="00150A13"/>
    <w:rsid w:val="007E358A"/>
    <w:rsid w:val="00887257"/>
    <w:rsid w:val="00AE10C7"/>
    <w:rsid w:val="00CA76DB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930E"/>
  <w15:chartTrackingRefBased/>
  <w15:docId w15:val="{42F8123A-F695-45E8-A6F5-3611551F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DB"/>
    <w:rPr>
      <w:rFonts w:ascii="Times New Roman" w:hAnsi="Times New Roman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76DB"/>
    <w:pPr>
      <w:spacing w:after="0" w:line="240" w:lineRule="auto"/>
    </w:pPr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5</cp:revision>
  <dcterms:created xsi:type="dcterms:W3CDTF">2024-02-04T01:51:00Z</dcterms:created>
  <dcterms:modified xsi:type="dcterms:W3CDTF">2024-03-26T23:32:00Z</dcterms:modified>
</cp:coreProperties>
</file>