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59F3" w14:textId="77777777" w:rsidR="00845D70" w:rsidRPr="00845D70" w:rsidRDefault="00845D70" w:rsidP="00845D70">
      <w:pPr>
        <w:widowControl w:val="0"/>
        <w:autoSpaceDE w:val="0"/>
        <w:autoSpaceDN w:val="0"/>
        <w:spacing w:after="0" w:line="240" w:lineRule="auto"/>
        <w:jc w:val="center"/>
        <w:rPr>
          <w:b/>
          <w:bCs/>
          <w:sz w:val="24"/>
          <w:szCs w:val="24"/>
        </w:rPr>
      </w:pPr>
      <w:r w:rsidRPr="00845D70">
        <w:rPr>
          <w:rFonts w:eastAsia="Times New Roman" w:cs="Times New Roman"/>
          <w:b/>
          <w:bCs/>
          <w:kern w:val="0"/>
          <w:sz w:val="24"/>
          <w:szCs w:val="24"/>
        </w:rPr>
        <w:t>17.27 Copyright—Affirmative Defense—</w:t>
      </w:r>
      <w:r w:rsidRPr="00845D70">
        <w:rPr>
          <w:b/>
          <w:bCs/>
          <w:sz w:val="24"/>
          <w:szCs w:val="24"/>
        </w:rPr>
        <w:t>Service Provider of Network Communications Services Defined (17 U.S.C. § 512(i), (k))</w:t>
      </w:r>
    </w:p>
    <w:p w14:paraId="25CB8CC1" w14:textId="77777777" w:rsidR="00845D70" w:rsidRPr="00845D70" w:rsidRDefault="00845D70" w:rsidP="00845D70">
      <w:pPr>
        <w:widowControl w:val="0"/>
        <w:autoSpaceDE w:val="0"/>
        <w:autoSpaceDN w:val="0"/>
        <w:spacing w:after="0" w:line="240" w:lineRule="auto"/>
        <w:jc w:val="center"/>
        <w:rPr>
          <w:b/>
          <w:bCs/>
          <w:sz w:val="24"/>
          <w:szCs w:val="24"/>
        </w:rPr>
      </w:pPr>
    </w:p>
    <w:p w14:paraId="0CE39AEA" w14:textId="77777777" w:rsidR="00845D70" w:rsidRPr="00845D70" w:rsidRDefault="00845D70" w:rsidP="00845D70">
      <w:pPr>
        <w:autoSpaceDE w:val="0"/>
        <w:autoSpaceDN w:val="0"/>
        <w:adjustRightInd w:val="0"/>
        <w:spacing w:after="0" w:line="240" w:lineRule="auto"/>
        <w:ind w:firstLine="720"/>
        <w:rPr>
          <w:rFonts w:cs="Times New Roman"/>
          <w:kern w:val="0"/>
          <w:sz w:val="24"/>
          <w:szCs w:val="24"/>
        </w:rPr>
      </w:pPr>
      <w:r w:rsidRPr="00845D70">
        <w:rPr>
          <w:rFonts w:cs="Times New Roman"/>
          <w:kern w:val="0"/>
          <w:sz w:val="24"/>
          <w:szCs w:val="24"/>
        </w:rPr>
        <w:t>The defendant qualifies as a service provider of network communication services if the defendant:</w:t>
      </w:r>
    </w:p>
    <w:p w14:paraId="12BAAB79" w14:textId="77777777" w:rsidR="00845D70" w:rsidRPr="00845D70" w:rsidRDefault="00845D70" w:rsidP="00845D70">
      <w:pPr>
        <w:autoSpaceDE w:val="0"/>
        <w:autoSpaceDN w:val="0"/>
        <w:adjustRightInd w:val="0"/>
        <w:spacing w:after="0" w:line="240" w:lineRule="auto"/>
        <w:ind w:firstLine="720"/>
        <w:rPr>
          <w:rFonts w:cs="Times New Roman"/>
          <w:kern w:val="0"/>
          <w:sz w:val="24"/>
          <w:szCs w:val="24"/>
        </w:rPr>
      </w:pPr>
    </w:p>
    <w:p w14:paraId="1E50F7BB" w14:textId="06346D5C" w:rsidR="00845D70" w:rsidRPr="00845D70" w:rsidRDefault="00845D70" w:rsidP="00845D70">
      <w:pPr>
        <w:autoSpaceDE w:val="0"/>
        <w:autoSpaceDN w:val="0"/>
        <w:adjustRightInd w:val="0"/>
        <w:spacing w:after="0" w:line="240" w:lineRule="auto"/>
        <w:ind w:left="720" w:right="720"/>
        <w:rPr>
          <w:rFonts w:cs="Times New Roman"/>
          <w:kern w:val="0"/>
          <w:sz w:val="24"/>
          <w:szCs w:val="24"/>
        </w:rPr>
      </w:pPr>
      <w:r w:rsidRPr="00845D70">
        <w:rPr>
          <w:rFonts w:cs="Times New Roman"/>
          <w:kern w:val="0"/>
          <w:sz w:val="24"/>
          <w:szCs w:val="24"/>
        </w:rPr>
        <w:t>First, engaged in transmitting, routing, or providing connections for online communication, between points specified by a user, of material of the user’s choosing, without modification to the content of the material;</w:t>
      </w:r>
    </w:p>
    <w:p w14:paraId="233C924F" w14:textId="77777777" w:rsidR="00845D70" w:rsidRPr="00845D70" w:rsidRDefault="00845D70" w:rsidP="00845D70">
      <w:pPr>
        <w:autoSpaceDE w:val="0"/>
        <w:autoSpaceDN w:val="0"/>
        <w:adjustRightInd w:val="0"/>
        <w:spacing w:after="0" w:line="240" w:lineRule="auto"/>
        <w:ind w:left="720" w:right="720"/>
        <w:contextualSpacing/>
        <w:rPr>
          <w:rFonts w:cs="Times New Roman"/>
          <w:kern w:val="0"/>
          <w:sz w:val="24"/>
          <w:szCs w:val="24"/>
        </w:rPr>
      </w:pPr>
    </w:p>
    <w:p w14:paraId="65C59E37" w14:textId="24541380" w:rsidR="00845D70" w:rsidRPr="00845D70" w:rsidRDefault="00845D70" w:rsidP="00845D70">
      <w:pPr>
        <w:autoSpaceDE w:val="0"/>
        <w:autoSpaceDN w:val="0"/>
        <w:adjustRightInd w:val="0"/>
        <w:spacing w:after="0" w:line="240" w:lineRule="auto"/>
        <w:ind w:left="720" w:right="720"/>
        <w:contextualSpacing/>
        <w:rPr>
          <w:rFonts w:cs="Times New Roman"/>
          <w:kern w:val="0"/>
          <w:sz w:val="24"/>
          <w:szCs w:val="24"/>
        </w:rPr>
      </w:pPr>
      <w:r w:rsidRPr="00845D70">
        <w:rPr>
          <w:rFonts w:cs="Times New Roman"/>
          <w:kern w:val="0"/>
          <w:sz w:val="24"/>
          <w:szCs w:val="24"/>
        </w:rPr>
        <w:t>Second, adopted, reasonably implemented, and informed users of a policy to terminate users who are repeat copyright infringers; and</w:t>
      </w:r>
    </w:p>
    <w:p w14:paraId="695382B0" w14:textId="77777777" w:rsidR="00845D70" w:rsidRPr="00845D70" w:rsidRDefault="00845D70" w:rsidP="00845D70">
      <w:pPr>
        <w:autoSpaceDE w:val="0"/>
        <w:autoSpaceDN w:val="0"/>
        <w:adjustRightInd w:val="0"/>
        <w:spacing w:after="0" w:line="240" w:lineRule="auto"/>
        <w:ind w:left="720" w:right="720"/>
        <w:rPr>
          <w:rFonts w:cs="Times New Roman"/>
          <w:kern w:val="0"/>
          <w:sz w:val="24"/>
          <w:szCs w:val="24"/>
        </w:rPr>
      </w:pPr>
    </w:p>
    <w:p w14:paraId="43C98A8E" w14:textId="487CEE5D" w:rsidR="00845D70" w:rsidRPr="00845D70" w:rsidRDefault="00845D70" w:rsidP="00845D70">
      <w:pPr>
        <w:autoSpaceDE w:val="0"/>
        <w:autoSpaceDN w:val="0"/>
        <w:adjustRightInd w:val="0"/>
        <w:spacing w:after="0" w:line="240" w:lineRule="auto"/>
        <w:ind w:left="720" w:right="720"/>
        <w:contextualSpacing/>
        <w:rPr>
          <w:rFonts w:cs="Times New Roman"/>
          <w:kern w:val="0"/>
          <w:sz w:val="24"/>
          <w:szCs w:val="24"/>
        </w:rPr>
      </w:pPr>
      <w:r w:rsidRPr="00845D70">
        <w:rPr>
          <w:rFonts w:cs="Times New Roman"/>
          <w:kern w:val="0"/>
          <w:sz w:val="24"/>
          <w:szCs w:val="24"/>
        </w:rPr>
        <w:t>Third, accommodated and did not interfere with standard technical measures used to identify or protect copyrighted works.</w:t>
      </w:r>
    </w:p>
    <w:p w14:paraId="25D543A7" w14:textId="77777777" w:rsidR="00845D70" w:rsidRPr="00845D70" w:rsidRDefault="00845D70" w:rsidP="00845D70">
      <w:pPr>
        <w:autoSpaceDE w:val="0"/>
        <w:autoSpaceDN w:val="0"/>
        <w:adjustRightInd w:val="0"/>
        <w:spacing w:after="0" w:line="240" w:lineRule="auto"/>
        <w:rPr>
          <w:rFonts w:cs="Times New Roman"/>
          <w:kern w:val="0"/>
          <w:sz w:val="24"/>
          <w:szCs w:val="24"/>
        </w:rPr>
      </w:pPr>
    </w:p>
    <w:p w14:paraId="01911DE3" w14:textId="77777777" w:rsidR="00845D70" w:rsidRPr="00845D70" w:rsidRDefault="00845D70" w:rsidP="00845D70">
      <w:pPr>
        <w:autoSpaceDE w:val="0"/>
        <w:autoSpaceDN w:val="0"/>
        <w:adjustRightInd w:val="0"/>
        <w:spacing w:after="0" w:line="240" w:lineRule="auto"/>
        <w:jc w:val="center"/>
        <w:rPr>
          <w:rFonts w:cs="Times New Roman"/>
          <w:kern w:val="0"/>
          <w:sz w:val="24"/>
          <w:szCs w:val="24"/>
        </w:rPr>
      </w:pPr>
      <w:r w:rsidRPr="00845D70">
        <w:rPr>
          <w:rFonts w:cs="Times New Roman"/>
          <w:b/>
          <w:bCs/>
          <w:kern w:val="0"/>
          <w:sz w:val="24"/>
          <w:szCs w:val="24"/>
        </w:rPr>
        <w:t>Comment</w:t>
      </w:r>
    </w:p>
    <w:p w14:paraId="37343421" w14:textId="77777777" w:rsidR="00845D70" w:rsidRPr="00845D70" w:rsidRDefault="00845D70" w:rsidP="00845D70">
      <w:pPr>
        <w:autoSpaceDE w:val="0"/>
        <w:autoSpaceDN w:val="0"/>
        <w:adjustRightInd w:val="0"/>
        <w:spacing w:after="0" w:line="240" w:lineRule="auto"/>
        <w:ind w:firstLine="720"/>
        <w:rPr>
          <w:rFonts w:cs="Times New Roman"/>
          <w:kern w:val="0"/>
          <w:sz w:val="24"/>
          <w:szCs w:val="24"/>
        </w:rPr>
      </w:pPr>
    </w:p>
    <w:p w14:paraId="68C0A556" w14:textId="77777777" w:rsidR="00845D70" w:rsidRPr="00845D70" w:rsidRDefault="00845D70" w:rsidP="00845D70">
      <w:pPr>
        <w:autoSpaceDE w:val="0"/>
        <w:autoSpaceDN w:val="0"/>
        <w:adjustRightInd w:val="0"/>
        <w:spacing w:after="0" w:line="240" w:lineRule="auto"/>
        <w:ind w:firstLine="720"/>
        <w:rPr>
          <w:rFonts w:cs="Times New Roman"/>
          <w:kern w:val="0"/>
          <w:sz w:val="24"/>
          <w:szCs w:val="24"/>
        </w:rPr>
      </w:pPr>
      <w:r w:rsidRPr="00845D70">
        <w:rPr>
          <w:rFonts w:cs="Times New Roman"/>
          <w:kern w:val="0"/>
          <w:sz w:val="24"/>
          <w:szCs w:val="24"/>
        </w:rPr>
        <w:t xml:space="preserve">Service providers of network communication services are defendants “who act only as ‘conduits’ for the transmission of information,” and do not “select which users will communicate with each other” or perform nonconduit functions. </w:t>
      </w:r>
      <w:r w:rsidRPr="00845D70">
        <w:rPr>
          <w:rFonts w:cs="Times New Roman"/>
          <w:i/>
          <w:iCs/>
          <w:kern w:val="0"/>
          <w:sz w:val="24"/>
          <w:szCs w:val="24"/>
        </w:rPr>
        <w:t>Columbia Pictures Indus., Inc. v. Fung</w:t>
      </w:r>
      <w:r w:rsidRPr="00845D70">
        <w:rPr>
          <w:rFonts w:cs="Times New Roman"/>
          <w:kern w:val="0"/>
          <w:sz w:val="24"/>
          <w:szCs w:val="24"/>
        </w:rPr>
        <w:t xml:space="preserve">, 710 F.3d 1020, 1041 (9th Cir. 2013) (citations omitted). This limitation applies whether the nonconduit functions are “automatic or humanly controlled.” </w:t>
      </w:r>
      <w:r w:rsidRPr="00845D70">
        <w:rPr>
          <w:rFonts w:cs="Times New Roman"/>
          <w:i/>
          <w:iCs/>
          <w:kern w:val="0"/>
          <w:sz w:val="24"/>
          <w:szCs w:val="24"/>
        </w:rPr>
        <w:t>Id.</w:t>
      </w:r>
      <w:r w:rsidRPr="00845D70">
        <w:rPr>
          <w:rFonts w:cs="Times New Roman"/>
          <w:kern w:val="0"/>
          <w:sz w:val="24"/>
          <w:szCs w:val="24"/>
        </w:rPr>
        <w:t xml:space="preserve"> at 1042 (citations omitted).</w:t>
      </w:r>
    </w:p>
    <w:p w14:paraId="4193C742" w14:textId="77777777" w:rsidR="00845D70" w:rsidRPr="00845D70" w:rsidRDefault="00845D70" w:rsidP="00845D70">
      <w:pPr>
        <w:autoSpaceDE w:val="0"/>
        <w:autoSpaceDN w:val="0"/>
        <w:adjustRightInd w:val="0"/>
        <w:spacing w:after="0" w:line="240" w:lineRule="auto"/>
        <w:ind w:firstLine="720"/>
        <w:rPr>
          <w:rFonts w:cs="Times New Roman"/>
          <w:kern w:val="0"/>
          <w:sz w:val="24"/>
          <w:szCs w:val="24"/>
        </w:rPr>
      </w:pPr>
    </w:p>
    <w:p w14:paraId="55834C86" w14:textId="5D5001D9" w:rsidR="00FE7F82" w:rsidRDefault="00845D70" w:rsidP="00845D70">
      <w:pPr>
        <w:spacing w:after="0" w:line="240" w:lineRule="auto"/>
        <w:rPr>
          <w:rFonts w:cs="Times New Roman"/>
          <w:kern w:val="0"/>
          <w:sz w:val="24"/>
          <w:szCs w:val="24"/>
        </w:rPr>
      </w:pPr>
      <w:r w:rsidRPr="00845D70">
        <w:rPr>
          <w:rFonts w:cs="Times New Roman"/>
          <w:kern w:val="0"/>
          <w:sz w:val="24"/>
          <w:szCs w:val="24"/>
        </w:rPr>
        <w:tab/>
      </w:r>
      <w:r w:rsidRPr="00845D70">
        <w:rPr>
          <w:rFonts w:cs="Times New Roman"/>
          <w:b/>
          <w:bCs/>
          <w:kern w:val="0"/>
          <w:sz w:val="24"/>
          <w:szCs w:val="24"/>
        </w:rPr>
        <w:t xml:space="preserve">Reasonably Implemented Policy for the Termination of Users Who Are Repeat Infringers: </w:t>
      </w:r>
      <w:r w:rsidRPr="00845D70">
        <w:rPr>
          <w:rFonts w:cs="Times New Roman"/>
          <w:kern w:val="0"/>
          <w:sz w:val="24"/>
          <w:szCs w:val="24"/>
        </w:rPr>
        <w:t xml:space="preserve">A reasonable policy for the termination of users who are repeat infringers requires the defendant to have a “working notification system, a procedure for dealing with DMCA-compliant notifications, and . . . [to] not actively prevent copyright owners from collecting information needed to issue such notifications.” </w:t>
      </w:r>
      <w:r w:rsidRPr="00845D70">
        <w:rPr>
          <w:rFonts w:cs="Times New Roman"/>
          <w:i/>
          <w:iCs/>
          <w:kern w:val="0"/>
          <w:sz w:val="24"/>
          <w:szCs w:val="24"/>
        </w:rPr>
        <w:t>Perfect 10, Inc. v. CCBill LLC</w:t>
      </w:r>
      <w:r w:rsidRPr="00845D70">
        <w:rPr>
          <w:rFonts w:cs="Times New Roman"/>
          <w:kern w:val="0"/>
          <w:sz w:val="24"/>
          <w:szCs w:val="24"/>
        </w:rPr>
        <w:t xml:space="preserve">, 488 F.3d 1102, 1109 (9th Cir. 2007) (collecting cases). However, the notification system does not have to be perfect. </w:t>
      </w:r>
      <w:r w:rsidRPr="00845D70">
        <w:rPr>
          <w:rFonts w:cs="Times New Roman"/>
          <w:i/>
          <w:iCs/>
          <w:kern w:val="0"/>
          <w:sz w:val="24"/>
          <w:szCs w:val="24"/>
        </w:rPr>
        <w:t xml:space="preserve">Id. </w:t>
      </w:r>
      <w:r w:rsidRPr="00845D70">
        <w:rPr>
          <w:rFonts w:cs="Times New Roman"/>
          <w:kern w:val="0"/>
          <w:sz w:val="24"/>
          <w:szCs w:val="24"/>
        </w:rPr>
        <w:t xml:space="preserve">at 1110 (concluding that defendant’s infringement log, which “largely kept track” of infringing users despite some omissions, satisfied the reasonably implemented policy requirement). To decide whether a policy was reasonably implemented, the jury may consider the defendant’s response to valid notifications of claimed infringement from the plaintiff and nonparty copyright holders; it may not consider the defendant’s response to invalid notifications of claimed infringement. </w:t>
      </w:r>
      <w:r w:rsidRPr="00845D70">
        <w:rPr>
          <w:rFonts w:cs="Times New Roman"/>
          <w:i/>
          <w:iCs/>
          <w:kern w:val="0"/>
          <w:sz w:val="24"/>
          <w:szCs w:val="24"/>
        </w:rPr>
        <w:t xml:space="preserve">Id. </w:t>
      </w:r>
      <w:r w:rsidRPr="00845D70">
        <w:rPr>
          <w:rFonts w:cs="Times New Roman"/>
          <w:kern w:val="0"/>
          <w:sz w:val="24"/>
          <w:szCs w:val="24"/>
        </w:rPr>
        <w:t xml:space="preserve">at 1112-13; </w:t>
      </w:r>
      <w:r w:rsidRPr="00845D70">
        <w:rPr>
          <w:rFonts w:cs="Times New Roman"/>
          <w:i/>
          <w:iCs/>
          <w:kern w:val="0"/>
          <w:sz w:val="24"/>
          <w:szCs w:val="24"/>
        </w:rPr>
        <w:t>see also Ventura Content, Ltd. v. Motherless, Inc</w:t>
      </w:r>
      <w:r w:rsidRPr="00845D70">
        <w:rPr>
          <w:rFonts w:cs="Times New Roman"/>
          <w:kern w:val="0"/>
          <w:sz w:val="24"/>
          <w:szCs w:val="24"/>
        </w:rPr>
        <w:t>., 885 F.3d 597, 617-19 (9th Cir. 2018) (holding that the jury could not reasonably conclude the website operator failed to reasonably implement repeat infringer policy when the operator terminated over 1,320 users for alleged infringement and only nine alleged repeat infringers “slipped through”).</w:t>
      </w:r>
    </w:p>
    <w:p w14:paraId="7A77D18D" w14:textId="77777777" w:rsidR="00D77874" w:rsidRDefault="00D77874" w:rsidP="00845D70">
      <w:pPr>
        <w:spacing w:after="0" w:line="240" w:lineRule="auto"/>
        <w:rPr>
          <w:rFonts w:cs="Times New Roman"/>
          <w:kern w:val="0"/>
          <w:sz w:val="24"/>
          <w:szCs w:val="24"/>
        </w:rPr>
      </w:pPr>
    </w:p>
    <w:p w14:paraId="101D4790" w14:textId="21BFC74B" w:rsidR="00D77874" w:rsidRPr="00D77874" w:rsidRDefault="00D77874" w:rsidP="00D77874">
      <w:pPr>
        <w:spacing w:after="0" w:line="240" w:lineRule="auto"/>
        <w:jc w:val="right"/>
        <w:rPr>
          <w:i/>
          <w:iCs/>
          <w:sz w:val="24"/>
          <w:szCs w:val="24"/>
        </w:rPr>
      </w:pPr>
      <w:r>
        <w:rPr>
          <w:rFonts w:cs="Times New Roman"/>
          <w:i/>
          <w:iCs/>
          <w:kern w:val="0"/>
          <w:sz w:val="24"/>
          <w:szCs w:val="24"/>
        </w:rPr>
        <w:t>Revised Dec. 2023</w:t>
      </w:r>
    </w:p>
    <w:sectPr w:rsidR="00D77874" w:rsidRPr="00D7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70"/>
    <w:rsid w:val="00845D70"/>
    <w:rsid w:val="00887257"/>
    <w:rsid w:val="00C4640F"/>
    <w:rsid w:val="00D77874"/>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659D"/>
  <w15:chartTrackingRefBased/>
  <w15:docId w15:val="{D3831E35-0CBE-4501-BC1A-534EFFE6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70"/>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3</cp:revision>
  <dcterms:created xsi:type="dcterms:W3CDTF">2024-02-04T01:53:00Z</dcterms:created>
  <dcterms:modified xsi:type="dcterms:W3CDTF">2024-03-25T18:54:00Z</dcterms:modified>
</cp:coreProperties>
</file>