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1410" w14:textId="77777777" w:rsidR="004F27BF" w:rsidRPr="00491737" w:rsidRDefault="004F27BF" w:rsidP="004F27BF">
      <w:pPr>
        <w:keepNext/>
        <w:keepLines/>
        <w:widowControl w:val="0"/>
        <w:autoSpaceDE w:val="0"/>
        <w:autoSpaceDN w:val="0"/>
        <w:spacing w:after="0" w:line="240" w:lineRule="auto"/>
        <w:jc w:val="center"/>
        <w:rPr>
          <w:rFonts w:cs="Times New Roman"/>
          <w:b/>
          <w:bCs/>
          <w:sz w:val="24"/>
          <w:szCs w:val="24"/>
        </w:rPr>
      </w:pPr>
      <w:r w:rsidRPr="00491737">
        <w:rPr>
          <w:rFonts w:eastAsia="Times New Roman" w:cs="Times New Roman"/>
          <w:b/>
          <w:bCs/>
          <w:kern w:val="0"/>
          <w:sz w:val="24"/>
          <w:szCs w:val="24"/>
        </w:rPr>
        <w:t>17.28 Copyright—Affirmative Defense—</w:t>
      </w:r>
      <w:r w:rsidRPr="00491737">
        <w:rPr>
          <w:rFonts w:cs="Times New Roman"/>
          <w:b/>
          <w:bCs/>
          <w:sz w:val="24"/>
          <w:szCs w:val="24"/>
        </w:rPr>
        <w:t>Limitation on Liability for Transitory Digital Network Communications (17 U.S.C. § 512(a))</w:t>
      </w:r>
    </w:p>
    <w:p w14:paraId="0D9B9F9A" w14:textId="77777777" w:rsidR="004F27BF" w:rsidRPr="00491737" w:rsidRDefault="004F27BF" w:rsidP="004F27BF">
      <w:pPr>
        <w:keepNext/>
        <w:keepLines/>
        <w:widowControl w:val="0"/>
        <w:autoSpaceDE w:val="0"/>
        <w:autoSpaceDN w:val="0"/>
        <w:spacing w:after="0" w:line="240" w:lineRule="auto"/>
        <w:jc w:val="center"/>
        <w:rPr>
          <w:rFonts w:cs="Times New Roman"/>
          <w:b/>
          <w:bCs/>
          <w:sz w:val="24"/>
          <w:szCs w:val="24"/>
        </w:rPr>
      </w:pPr>
    </w:p>
    <w:p w14:paraId="26469F1A" w14:textId="77777777" w:rsidR="004F27BF" w:rsidRPr="00491737" w:rsidRDefault="004F27BF" w:rsidP="004F27BF">
      <w:pPr>
        <w:keepNext/>
        <w:keepLines/>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E527F35" w14:textId="77777777" w:rsidR="004F27BF" w:rsidRPr="00491737" w:rsidRDefault="004F27BF" w:rsidP="004F27BF">
      <w:pPr>
        <w:autoSpaceDE w:val="0"/>
        <w:autoSpaceDN w:val="0"/>
        <w:adjustRightInd w:val="0"/>
        <w:spacing w:after="0" w:line="240" w:lineRule="auto"/>
        <w:rPr>
          <w:rFonts w:cs="Times New Roman"/>
          <w:kern w:val="0"/>
          <w:sz w:val="24"/>
          <w:szCs w:val="24"/>
        </w:rPr>
      </w:pPr>
    </w:p>
    <w:p w14:paraId="3DE7217F" w14:textId="3294422D"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r w:rsidRPr="00491737">
        <w:rPr>
          <w:rFonts w:cs="Times New Roman"/>
          <w:kern w:val="0"/>
          <w:sz w:val="24"/>
          <w:szCs w:val="24"/>
        </w:rPr>
        <w:t xml:space="preserve">First, the defendant is a service provider of network communication </w:t>
      </w:r>
      <w:proofErr w:type="gramStart"/>
      <w:r w:rsidRPr="00491737">
        <w:rPr>
          <w:rFonts w:cs="Times New Roman"/>
          <w:kern w:val="0"/>
          <w:sz w:val="24"/>
          <w:szCs w:val="24"/>
        </w:rPr>
        <w:t>services;</w:t>
      </w:r>
      <w:proofErr w:type="gramEnd"/>
    </w:p>
    <w:p w14:paraId="66FCC7BF" w14:textId="77777777"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p>
    <w:p w14:paraId="0A87D696" w14:textId="7CBB8239"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r w:rsidRPr="00491737">
        <w:rPr>
          <w:rFonts w:cs="Times New Roman"/>
          <w:kern w:val="0"/>
          <w:sz w:val="24"/>
          <w:szCs w:val="24"/>
        </w:rPr>
        <w:t xml:space="preserve">Second, the defendant did not initiate or direct the transmission of the </w:t>
      </w:r>
      <w:proofErr w:type="gramStart"/>
      <w:r w:rsidRPr="00491737">
        <w:rPr>
          <w:rFonts w:cs="Times New Roman"/>
          <w:kern w:val="0"/>
          <w:sz w:val="24"/>
          <w:szCs w:val="24"/>
        </w:rPr>
        <w:t>material;</w:t>
      </w:r>
      <w:proofErr w:type="gramEnd"/>
    </w:p>
    <w:p w14:paraId="183FF70F" w14:textId="77777777" w:rsidR="004F27BF" w:rsidRPr="00491737" w:rsidRDefault="004F27BF" w:rsidP="004F27BF">
      <w:pPr>
        <w:autoSpaceDE w:val="0"/>
        <w:autoSpaceDN w:val="0"/>
        <w:adjustRightInd w:val="0"/>
        <w:spacing w:after="0" w:line="240" w:lineRule="auto"/>
        <w:ind w:left="720" w:right="720"/>
        <w:rPr>
          <w:rFonts w:cs="Times New Roman"/>
          <w:kern w:val="0"/>
          <w:sz w:val="24"/>
          <w:szCs w:val="24"/>
        </w:rPr>
      </w:pPr>
    </w:p>
    <w:p w14:paraId="68F5C7A0" w14:textId="407FC8A8"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r w:rsidRPr="00491737">
        <w:rPr>
          <w:rFonts w:cs="Times New Roman"/>
          <w:kern w:val="0"/>
          <w:sz w:val="24"/>
          <w:szCs w:val="24"/>
        </w:rPr>
        <w:t xml:space="preserve">Third, the transmission, routing, provision of connections, or storage of the copyrighted material was carried out through an automatic technical process, and the defendant did not select the </w:t>
      </w:r>
      <w:proofErr w:type="gramStart"/>
      <w:r w:rsidRPr="00491737">
        <w:rPr>
          <w:rFonts w:cs="Times New Roman"/>
          <w:kern w:val="0"/>
          <w:sz w:val="24"/>
          <w:szCs w:val="24"/>
        </w:rPr>
        <w:t>material;</w:t>
      </w:r>
      <w:proofErr w:type="gramEnd"/>
    </w:p>
    <w:p w14:paraId="37F82269" w14:textId="77777777" w:rsidR="004F27BF" w:rsidRPr="00491737" w:rsidRDefault="004F27BF" w:rsidP="004F27BF">
      <w:pPr>
        <w:spacing w:after="0" w:line="240" w:lineRule="auto"/>
        <w:ind w:left="720"/>
        <w:contextualSpacing/>
        <w:rPr>
          <w:rFonts w:cs="Times New Roman"/>
          <w:kern w:val="0"/>
          <w:sz w:val="24"/>
          <w:szCs w:val="24"/>
        </w:rPr>
      </w:pPr>
    </w:p>
    <w:p w14:paraId="454CF574" w14:textId="0141A9EE"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r w:rsidRPr="00491737">
        <w:rPr>
          <w:rFonts w:cs="Times New Roman"/>
          <w:kern w:val="0"/>
          <w:sz w:val="24"/>
          <w:szCs w:val="24"/>
        </w:rPr>
        <w:t xml:space="preserve">Fourth, the defendant did not select the recipients of the material except as an automatic response to a request of another </w:t>
      </w:r>
      <w:proofErr w:type="gramStart"/>
      <w:r w:rsidRPr="00491737">
        <w:rPr>
          <w:rFonts w:cs="Times New Roman"/>
          <w:kern w:val="0"/>
          <w:sz w:val="24"/>
          <w:szCs w:val="24"/>
        </w:rPr>
        <w:t>person;</w:t>
      </w:r>
      <w:proofErr w:type="gramEnd"/>
    </w:p>
    <w:p w14:paraId="34713EC7" w14:textId="77777777" w:rsidR="004F27BF" w:rsidRPr="00491737" w:rsidRDefault="004F27BF" w:rsidP="004F27BF">
      <w:pPr>
        <w:spacing w:after="0" w:line="240" w:lineRule="auto"/>
        <w:ind w:left="720"/>
        <w:contextualSpacing/>
        <w:rPr>
          <w:rFonts w:cs="Times New Roman"/>
          <w:kern w:val="0"/>
          <w:sz w:val="24"/>
          <w:szCs w:val="24"/>
        </w:rPr>
      </w:pPr>
    </w:p>
    <w:p w14:paraId="778237C0" w14:textId="4F20BB38"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r w:rsidRPr="00491737">
        <w:rPr>
          <w:rFonts w:cs="Times New Roman"/>
          <w:kern w:val="0"/>
          <w:sz w:val="24"/>
          <w:szCs w:val="24"/>
        </w:rPr>
        <w:t xml:space="preserve">Fifth, </w:t>
      </w:r>
      <w:proofErr w:type="gramStart"/>
      <w:r w:rsidRPr="00491737">
        <w:rPr>
          <w:rFonts w:cs="Times New Roman"/>
          <w:kern w:val="0"/>
          <w:sz w:val="24"/>
          <w:szCs w:val="24"/>
        </w:rPr>
        <w:t>The</w:t>
      </w:r>
      <w:proofErr w:type="gramEnd"/>
      <w:r w:rsidRPr="00491737">
        <w:rPr>
          <w:rFonts w:cs="Times New Roman"/>
          <w:kern w:val="0"/>
          <w:sz w:val="24"/>
          <w:szCs w:val="24"/>
        </w:rPr>
        <w:t xml:space="preserve"> defendant did not make the material accessible to anyone other than to anticipated recipients;</w:t>
      </w:r>
    </w:p>
    <w:p w14:paraId="59A1AA53" w14:textId="77777777" w:rsidR="004F27BF" w:rsidRPr="00491737" w:rsidRDefault="004F27BF" w:rsidP="004F27BF">
      <w:pPr>
        <w:spacing w:after="0" w:line="240" w:lineRule="auto"/>
        <w:ind w:left="720"/>
        <w:contextualSpacing/>
        <w:rPr>
          <w:rFonts w:cs="Times New Roman"/>
          <w:kern w:val="0"/>
          <w:sz w:val="24"/>
          <w:szCs w:val="24"/>
        </w:rPr>
      </w:pPr>
    </w:p>
    <w:p w14:paraId="2A100972" w14:textId="35BB302F"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r w:rsidRPr="00491737">
        <w:rPr>
          <w:rFonts w:cs="Times New Roman"/>
          <w:kern w:val="0"/>
          <w:sz w:val="24"/>
          <w:szCs w:val="24"/>
        </w:rPr>
        <w:t>Sixth, the defendant did not keep the copyrighted material for longer than is reasonably necessary for the transmission, routing, or provision of connections; and</w:t>
      </w:r>
    </w:p>
    <w:p w14:paraId="44472558" w14:textId="77777777" w:rsidR="004F27BF" w:rsidRPr="00491737" w:rsidRDefault="004F27BF" w:rsidP="004F27BF">
      <w:pPr>
        <w:spacing w:after="0" w:line="240" w:lineRule="auto"/>
        <w:ind w:left="720"/>
        <w:contextualSpacing/>
        <w:rPr>
          <w:rFonts w:cs="Times New Roman"/>
          <w:kern w:val="0"/>
          <w:sz w:val="24"/>
          <w:szCs w:val="24"/>
        </w:rPr>
      </w:pPr>
    </w:p>
    <w:p w14:paraId="78706D05" w14:textId="69343C09" w:rsidR="004F27BF" w:rsidRPr="00491737" w:rsidRDefault="004F27BF" w:rsidP="004F27BF">
      <w:pPr>
        <w:autoSpaceDE w:val="0"/>
        <w:autoSpaceDN w:val="0"/>
        <w:adjustRightInd w:val="0"/>
        <w:spacing w:after="0" w:line="240" w:lineRule="auto"/>
        <w:ind w:left="720" w:right="720"/>
        <w:contextualSpacing/>
        <w:rPr>
          <w:rFonts w:cs="Times New Roman"/>
          <w:kern w:val="0"/>
          <w:sz w:val="24"/>
          <w:szCs w:val="24"/>
        </w:rPr>
      </w:pPr>
      <w:r w:rsidRPr="00491737">
        <w:rPr>
          <w:rFonts w:cs="Times New Roman"/>
          <w:kern w:val="0"/>
          <w:sz w:val="24"/>
          <w:szCs w:val="24"/>
        </w:rPr>
        <w:t>Seventh, the defendant transmitted the material through the system or network without modifying the content.</w:t>
      </w:r>
    </w:p>
    <w:p w14:paraId="0C1340AC" w14:textId="77777777" w:rsidR="004F27BF" w:rsidRPr="00491737" w:rsidRDefault="004F27BF" w:rsidP="004F27BF">
      <w:pPr>
        <w:autoSpaceDE w:val="0"/>
        <w:autoSpaceDN w:val="0"/>
        <w:adjustRightInd w:val="0"/>
        <w:spacing w:after="0" w:line="240" w:lineRule="auto"/>
        <w:rPr>
          <w:rFonts w:cs="Times New Roman"/>
          <w:kern w:val="0"/>
          <w:sz w:val="24"/>
          <w:szCs w:val="24"/>
        </w:rPr>
      </w:pPr>
    </w:p>
    <w:p w14:paraId="59A4B0AB" w14:textId="13F0119E" w:rsidR="004F27BF" w:rsidRDefault="004F27BF" w:rsidP="004F27BF">
      <w:pPr>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6D567869" w14:textId="77777777" w:rsidR="00977E39" w:rsidRPr="00491737" w:rsidRDefault="00977E39" w:rsidP="004F27BF">
      <w:pPr>
        <w:autoSpaceDE w:val="0"/>
        <w:autoSpaceDN w:val="0"/>
        <w:adjustRightInd w:val="0"/>
        <w:spacing w:after="0" w:line="240" w:lineRule="auto"/>
        <w:ind w:firstLine="720"/>
        <w:rPr>
          <w:rFonts w:cs="Times New Roman"/>
          <w:kern w:val="0"/>
          <w:sz w:val="24"/>
          <w:szCs w:val="24"/>
        </w:rPr>
      </w:pPr>
    </w:p>
    <w:p w14:paraId="1E1A7414" w14:textId="77777777" w:rsidR="004F27BF" w:rsidRPr="00491737" w:rsidRDefault="004F27BF" w:rsidP="004F27BF">
      <w:pPr>
        <w:autoSpaceDE w:val="0"/>
        <w:autoSpaceDN w:val="0"/>
        <w:adjustRightInd w:val="0"/>
        <w:spacing w:after="0" w:line="240" w:lineRule="auto"/>
        <w:jc w:val="center"/>
        <w:rPr>
          <w:rFonts w:cs="Times New Roman"/>
          <w:kern w:val="0"/>
          <w:sz w:val="24"/>
          <w:szCs w:val="24"/>
        </w:rPr>
      </w:pPr>
      <w:r w:rsidRPr="00491737">
        <w:rPr>
          <w:rFonts w:cs="Times New Roman"/>
          <w:b/>
          <w:bCs/>
          <w:kern w:val="0"/>
          <w:sz w:val="24"/>
          <w:szCs w:val="24"/>
        </w:rPr>
        <w:t>Comment</w:t>
      </w:r>
    </w:p>
    <w:p w14:paraId="77E3E294" w14:textId="77777777" w:rsidR="004F27BF" w:rsidRPr="00491737" w:rsidRDefault="004F27BF" w:rsidP="004F27BF">
      <w:pPr>
        <w:autoSpaceDE w:val="0"/>
        <w:autoSpaceDN w:val="0"/>
        <w:adjustRightInd w:val="0"/>
        <w:spacing w:after="0" w:line="240" w:lineRule="auto"/>
        <w:jc w:val="center"/>
        <w:rPr>
          <w:rFonts w:cs="Times New Roman"/>
          <w:kern w:val="0"/>
          <w:sz w:val="24"/>
          <w:szCs w:val="24"/>
        </w:rPr>
      </w:pPr>
    </w:p>
    <w:p w14:paraId="7C783442" w14:textId="7BE0A6E6" w:rsidR="004F27BF" w:rsidRPr="00491737" w:rsidRDefault="004F27BF" w:rsidP="004F27BF">
      <w:pPr>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 xml:space="preserve">This instruction is based on the Digital Millennium Copyright Act’s (“DMCA”) safe harbor provision for transitory digital network communications. </w:t>
      </w:r>
      <w:r w:rsidRPr="00491737">
        <w:rPr>
          <w:rFonts w:cs="Times New Roman"/>
          <w:i/>
          <w:iCs/>
          <w:kern w:val="0"/>
          <w:sz w:val="24"/>
          <w:szCs w:val="24"/>
        </w:rPr>
        <w:t xml:space="preserve">See </w:t>
      </w:r>
      <w:r w:rsidRPr="00491737">
        <w:rPr>
          <w:rFonts w:cs="Times New Roman"/>
          <w:kern w:val="0"/>
          <w:sz w:val="24"/>
          <w:szCs w:val="24"/>
        </w:rPr>
        <w:t xml:space="preserve">17 U.S.C. § 512(a) and (k). The DMCA safe harbor provisions are affirmative defenses to copyright infringement. </w:t>
      </w:r>
      <w:bookmarkStart w:id="0" w:name="_Hlk149816978"/>
      <w:proofErr w:type="spellStart"/>
      <w:r w:rsidRPr="00491737">
        <w:rPr>
          <w:rFonts w:cs="Times New Roman"/>
          <w:i/>
          <w:iCs/>
          <w:kern w:val="0"/>
          <w:sz w:val="24"/>
          <w:szCs w:val="24"/>
        </w:rPr>
        <w:t>Mavrix</w:t>
      </w:r>
      <w:proofErr w:type="spellEnd"/>
      <w:r w:rsidRPr="00491737">
        <w:rPr>
          <w:rFonts w:cs="Times New Roman"/>
          <w:i/>
          <w:iCs/>
          <w:kern w:val="0"/>
          <w:sz w:val="24"/>
          <w:szCs w:val="24"/>
        </w:rPr>
        <w:t xml:space="preserve"> Photographs, LLC v. LiveJournal, Inc.</w:t>
      </w:r>
      <w:r w:rsidRPr="00491737">
        <w:rPr>
          <w:rFonts w:cs="Times New Roman"/>
          <w:kern w:val="0"/>
          <w:sz w:val="24"/>
          <w:szCs w:val="24"/>
        </w:rPr>
        <w:t>, 873 F.3d 1045,</w:t>
      </w:r>
      <w:r w:rsidRPr="00491737">
        <w:rPr>
          <w:rFonts w:cs="Times New Roman"/>
          <w:i/>
          <w:iCs/>
          <w:kern w:val="0"/>
          <w:sz w:val="24"/>
          <w:szCs w:val="24"/>
        </w:rPr>
        <w:t xml:space="preserve"> </w:t>
      </w:r>
      <w:r w:rsidRPr="00491737">
        <w:rPr>
          <w:rFonts w:cs="Times New Roman"/>
          <w:kern w:val="0"/>
          <w:sz w:val="24"/>
          <w:szCs w:val="24"/>
        </w:rPr>
        <w:t>1052 (9th Cir. 2017</w:t>
      </w:r>
      <w:bookmarkEnd w:id="0"/>
      <w:r w:rsidRPr="00491737">
        <w:rPr>
          <w:rFonts w:cs="Times New Roman"/>
          <w:kern w:val="0"/>
          <w:sz w:val="24"/>
          <w:szCs w:val="24"/>
        </w:rPr>
        <w:t xml:space="preserve">); </w:t>
      </w:r>
      <w:r w:rsidRPr="00491737">
        <w:rPr>
          <w:rFonts w:cs="Times New Roman"/>
          <w:i/>
          <w:iCs/>
          <w:kern w:val="0"/>
          <w:sz w:val="24"/>
          <w:szCs w:val="24"/>
        </w:rPr>
        <w:t>Columbia Pictures Indus., Inc. v. Fung</w:t>
      </w:r>
      <w:r w:rsidRPr="00491737">
        <w:rPr>
          <w:rFonts w:cs="Times New Roman"/>
          <w:kern w:val="0"/>
          <w:sz w:val="24"/>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491737">
        <w:rPr>
          <w:rFonts w:cs="Times New Roman"/>
          <w:i/>
          <w:iCs/>
          <w:kern w:val="0"/>
          <w:sz w:val="24"/>
          <w:szCs w:val="24"/>
        </w:rPr>
        <w:t>Ellison v. Robertson</w:t>
      </w:r>
      <w:r w:rsidRPr="00491737">
        <w:rPr>
          <w:rFonts w:cs="Times New Roman"/>
          <w:kern w:val="0"/>
          <w:sz w:val="24"/>
          <w:szCs w:val="24"/>
        </w:rPr>
        <w:t>, 357 F.3d 1072, 1076-77 (9th Cir. 2004) (footnotes omitted).</w:t>
      </w:r>
    </w:p>
    <w:p w14:paraId="2A79C8C8" w14:textId="77777777" w:rsidR="004F27BF" w:rsidRPr="00491737" w:rsidRDefault="004F27BF" w:rsidP="004F27BF">
      <w:pPr>
        <w:autoSpaceDE w:val="0"/>
        <w:autoSpaceDN w:val="0"/>
        <w:adjustRightInd w:val="0"/>
        <w:spacing w:after="0" w:line="240" w:lineRule="auto"/>
        <w:rPr>
          <w:rFonts w:cs="Times New Roman"/>
          <w:kern w:val="0"/>
          <w:sz w:val="24"/>
          <w:szCs w:val="24"/>
        </w:rPr>
      </w:pPr>
    </w:p>
    <w:p w14:paraId="1D185D6D" w14:textId="75D34C35" w:rsidR="004F27BF" w:rsidRPr="00491737" w:rsidRDefault="004F27BF" w:rsidP="004F27BF">
      <w:pPr>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 xml:space="preserve">The DMCA was “enacted to foster cooperation among copyright holders and service providers in dealing with infringement on the Internet.” </w:t>
      </w:r>
      <w:r w:rsidRPr="00491737">
        <w:rPr>
          <w:rFonts w:cs="Times New Roman"/>
          <w:i/>
          <w:iCs/>
          <w:kern w:val="0"/>
          <w:sz w:val="24"/>
          <w:szCs w:val="24"/>
        </w:rPr>
        <w:t xml:space="preserve">UMG Recordings, Inc. v. Shelter Cap. </w:t>
      </w:r>
      <w:r w:rsidRPr="00491737">
        <w:rPr>
          <w:rFonts w:cs="Times New Roman"/>
          <w:i/>
          <w:iCs/>
          <w:kern w:val="0"/>
          <w:sz w:val="24"/>
          <w:szCs w:val="24"/>
        </w:rPr>
        <w:lastRenderedPageBreak/>
        <w:t>Partners LLC</w:t>
      </w:r>
      <w:r w:rsidRPr="00491737">
        <w:rPr>
          <w:rFonts w:cs="Times New Roman"/>
          <w:kern w:val="0"/>
          <w:sz w:val="24"/>
          <w:szCs w:val="24"/>
        </w:rPr>
        <w:t>, 718 F.3d 1006, 1021-22 (9th</w:t>
      </w:r>
      <w:r w:rsidRPr="00491737">
        <w:rPr>
          <w:rFonts w:cs="Times New Roman"/>
          <w:sz w:val="24"/>
          <w:szCs w:val="24"/>
        </w:rPr>
        <w:t> </w:t>
      </w:r>
      <w:r w:rsidRPr="00491737">
        <w:rPr>
          <w:rFonts w:cs="Times New Roman"/>
          <w:kern w:val="0"/>
          <w:sz w:val="24"/>
          <w:szCs w:val="24"/>
        </w:rPr>
        <w:t xml:space="preserve">Cir. 2013) (citing congressional legislative history). It is intended to mediate “competing interests in protecting intellectual property interests and in encouraging creative development of devices for using the Internet to make information available.” </w:t>
      </w:r>
      <w:r w:rsidRPr="00491737">
        <w:rPr>
          <w:rFonts w:cs="Times New Roman"/>
          <w:i/>
          <w:iCs/>
          <w:kern w:val="0"/>
          <w:sz w:val="24"/>
          <w:szCs w:val="24"/>
        </w:rPr>
        <w:t>Columbia Pictures</w:t>
      </w:r>
      <w:r w:rsidRPr="00491737">
        <w:rPr>
          <w:rFonts w:cs="Times New Roman"/>
          <w:kern w:val="0"/>
          <w:sz w:val="24"/>
          <w:szCs w:val="24"/>
        </w:rPr>
        <w:t xml:space="preserve">, 710 F.3d at 1024. </w:t>
      </w:r>
      <w:bookmarkStart w:id="1" w:name="_Hlk149817662"/>
      <w:r w:rsidRPr="00491737">
        <w:rPr>
          <w:rFonts w:cs="Times New Roman"/>
          <w:kern w:val="0"/>
          <w:sz w:val="24"/>
          <w:szCs w:val="24"/>
        </w:rPr>
        <w:t>This</w:t>
      </w:r>
      <w:r w:rsidRPr="003A5996">
        <w:rPr>
          <w:rFonts w:cs="Times New Roman"/>
          <w:color w:val="FF0000"/>
          <w:kern w:val="0"/>
          <w:sz w:val="24"/>
          <w:szCs w:val="24"/>
        </w:rPr>
        <w:t xml:space="preserve"> </w:t>
      </w:r>
      <w:r w:rsidRPr="00491737">
        <w:rPr>
          <w:rFonts w:cs="Times New Roman"/>
          <w:kern w:val="0"/>
          <w:sz w:val="24"/>
          <w:szCs w:val="24"/>
        </w:rPr>
        <w:t xml:space="preserve">defense can be used by a service provider of network communication services when “the service provider merely acts as a conduit for infringing material without storing, caching, or providing links to copyrighted material.” </w:t>
      </w:r>
      <w:bookmarkStart w:id="2" w:name="_Hlk149817719"/>
      <w:bookmarkEnd w:id="1"/>
      <w:r w:rsidRPr="00491737">
        <w:rPr>
          <w:rFonts w:cs="Times New Roman"/>
          <w:i/>
          <w:iCs/>
          <w:kern w:val="0"/>
          <w:sz w:val="24"/>
          <w:szCs w:val="24"/>
        </w:rPr>
        <w:t>UMG Recordings, Inc.</w:t>
      </w:r>
      <w:r w:rsidRPr="00491737">
        <w:rPr>
          <w:rFonts w:cs="Times New Roman"/>
          <w:kern w:val="0"/>
          <w:sz w:val="24"/>
          <w:szCs w:val="24"/>
        </w:rPr>
        <w:t>, 718 F.3d at 1019 n.10 (internal quotation marks and citations omitted).</w:t>
      </w:r>
      <w:bookmarkEnd w:id="2"/>
    </w:p>
    <w:p w14:paraId="4AC4DDFD" w14:textId="77777777" w:rsidR="004F27BF" w:rsidRPr="00491737" w:rsidRDefault="004F27BF" w:rsidP="004F27BF">
      <w:pPr>
        <w:autoSpaceDE w:val="0"/>
        <w:autoSpaceDN w:val="0"/>
        <w:adjustRightInd w:val="0"/>
        <w:spacing w:after="0" w:line="240" w:lineRule="auto"/>
        <w:rPr>
          <w:rFonts w:cs="Times New Roman"/>
          <w:kern w:val="0"/>
          <w:sz w:val="24"/>
          <w:szCs w:val="24"/>
        </w:rPr>
      </w:pPr>
    </w:p>
    <w:p w14:paraId="725E4968" w14:textId="486D2C89" w:rsidR="004F27BF" w:rsidRPr="00491737" w:rsidRDefault="004F27BF" w:rsidP="004F27BF">
      <w:pPr>
        <w:autoSpaceDE w:val="0"/>
        <w:autoSpaceDN w:val="0"/>
        <w:adjustRightInd w:val="0"/>
        <w:spacing w:after="0" w:line="240" w:lineRule="auto"/>
        <w:rPr>
          <w:rFonts w:cs="Times New Roman"/>
          <w:kern w:val="0"/>
          <w:sz w:val="24"/>
          <w:szCs w:val="24"/>
        </w:rPr>
      </w:pPr>
      <w:r w:rsidRPr="00491737">
        <w:rPr>
          <w:rFonts w:cs="Times New Roman"/>
          <w:kern w:val="0"/>
          <w:sz w:val="24"/>
          <w:szCs w:val="24"/>
        </w:rPr>
        <w:tab/>
        <w:t xml:space="preserve">For a definition of a service provider of network communication services, </w:t>
      </w:r>
      <w:r w:rsidRPr="00491737">
        <w:rPr>
          <w:rFonts w:cs="Times New Roman"/>
          <w:i/>
          <w:iCs/>
          <w:kern w:val="0"/>
          <w:sz w:val="24"/>
          <w:szCs w:val="24"/>
        </w:rPr>
        <w:t xml:space="preserve">see </w:t>
      </w:r>
      <w:r w:rsidRPr="00491737">
        <w:rPr>
          <w:rFonts w:cs="Times New Roman"/>
          <w:kern w:val="0"/>
          <w:sz w:val="24"/>
          <w:szCs w:val="24"/>
        </w:rPr>
        <w:t xml:space="preserve">Instruction 17.27 (Copyright—Affirmative Defense—Service Provider of Network Communications Services Defined). </w:t>
      </w:r>
      <w:bookmarkStart w:id="3" w:name="_Hlk149816601"/>
      <w:r w:rsidRPr="00491737">
        <w:rPr>
          <w:rFonts w:cs="Times New Roman"/>
          <w:kern w:val="0"/>
          <w:sz w:val="24"/>
          <w:szCs w:val="24"/>
        </w:rPr>
        <w:t xml:space="preserve">For commentary on a </w:t>
      </w:r>
      <w:bookmarkStart w:id="4" w:name="_Hlk149816382"/>
      <w:r w:rsidRPr="00491737">
        <w:rPr>
          <w:rFonts w:cs="Times New Roman"/>
          <w:kern w:val="0"/>
          <w:sz w:val="24"/>
          <w:szCs w:val="24"/>
        </w:rPr>
        <w:t>reasonably implemented policy for the termination of users who are repeat infringers</w:t>
      </w:r>
      <w:bookmarkEnd w:id="4"/>
      <w:r w:rsidRPr="00491737">
        <w:rPr>
          <w:rFonts w:cs="Times New Roman"/>
          <w:kern w:val="0"/>
          <w:sz w:val="24"/>
          <w:szCs w:val="24"/>
        </w:rPr>
        <w:t xml:space="preserve">, </w:t>
      </w:r>
      <w:r w:rsidRPr="00491737">
        <w:rPr>
          <w:rFonts w:cs="Times New Roman"/>
          <w:i/>
          <w:iCs/>
          <w:kern w:val="0"/>
          <w:sz w:val="24"/>
          <w:szCs w:val="24"/>
        </w:rPr>
        <w:t>see</w:t>
      </w:r>
      <w:r w:rsidRPr="00491737">
        <w:rPr>
          <w:rFonts w:cs="Times New Roman"/>
          <w:kern w:val="0"/>
          <w:sz w:val="24"/>
          <w:szCs w:val="24"/>
        </w:rPr>
        <w:t xml:space="preserve"> Instruction 17.27 (Copyright—Affirmative Defense—Service Provider of Network Communications Services Defined).</w:t>
      </w:r>
      <w:bookmarkEnd w:id="3"/>
    </w:p>
    <w:p w14:paraId="0D4F38F5" w14:textId="071DDD73" w:rsidR="004F27BF" w:rsidRPr="00491737" w:rsidRDefault="004F27BF" w:rsidP="004F27BF">
      <w:pPr>
        <w:autoSpaceDE w:val="0"/>
        <w:autoSpaceDN w:val="0"/>
        <w:adjustRightInd w:val="0"/>
        <w:spacing w:after="0" w:line="240" w:lineRule="auto"/>
        <w:rPr>
          <w:rFonts w:cs="Times New Roman"/>
          <w:kern w:val="0"/>
          <w:sz w:val="24"/>
          <w:szCs w:val="24"/>
        </w:rPr>
      </w:pPr>
      <w:r w:rsidRPr="00491737">
        <w:rPr>
          <w:rFonts w:cs="Times New Roman"/>
          <w:kern w:val="0"/>
          <w:sz w:val="24"/>
          <w:szCs w:val="24"/>
        </w:rPr>
        <w:tab/>
      </w:r>
    </w:p>
    <w:p w14:paraId="3348D297" w14:textId="77777777" w:rsidR="004F27BF" w:rsidRDefault="004F27BF" w:rsidP="004F27BF">
      <w:pPr>
        <w:autoSpaceDE w:val="0"/>
        <w:autoSpaceDN w:val="0"/>
        <w:adjustRightInd w:val="0"/>
        <w:spacing w:after="0" w:line="240" w:lineRule="auto"/>
        <w:ind w:firstLine="720"/>
        <w:rPr>
          <w:rFonts w:cs="Times New Roman"/>
          <w:kern w:val="0"/>
          <w:sz w:val="24"/>
          <w:szCs w:val="24"/>
        </w:rPr>
      </w:pPr>
      <w:r w:rsidRPr="00491737">
        <w:rPr>
          <w:rFonts w:cs="Times New Roman"/>
          <w:b/>
          <w:bCs/>
          <w:kern w:val="0"/>
          <w:sz w:val="24"/>
          <w:szCs w:val="24"/>
        </w:rPr>
        <w:t xml:space="preserve">Kept for No Longer Than Reasonably Necessary for Transmission: </w:t>
      </w:r>
      <w:r w:rsidRPr="00491737">
        <w:rPr>
          <w:rFonts w:cs="Times New Roman"/>
          <w:kern w:val="0"/>
          <w:sz w:val="24"/>
          <w:szCs w:val="24"/>
        </w:rPr>
        <w:t xml:space="preserve">A period of fourteen days of temporary storage can qualify as storage for no longer than is reasonably </w:t>
      </w:r>
      <w:r w:rsidRPr="00181A8D">
        <w:rPr>
          <w:rFonts w:cs="Times New Roman"/>
          <w:kern w:val="0"/>
          <w:sz w:val="24"/>
          <w:szCs w:val="24"/>
        </w:rPr>
        <w:t xml:space="preserve">necessary for transmission. </w:t>
      </w:r>
      <w:r w:rsidRPr="00181A8D">
        <w:rPr>
          <w:rFonts w:cs="Times New Roman"/>
          <w:i/>
          <w:iCs/>
          <w:kern w:val="0"/>
          <w:sz w:val="24"/>
          <w:szCs w:val="24"/>
        </w:rPr>
        <w:t>Ellison</w:t>
      </w:r>
      <w:r w:rsidRPr="00181A8D">
        <w:rPr>
          <w:rFonts w:cs="Times New Roman"/>
          <w:kern w:val="0"/>
          <w:sz w:val="24"/>
          <w:szCs w:val="24"/>
        </w:rPr>
        <w:t>, 357 F.3d at 1081.</w:t>
      </w:r>
    </w:p>
    <w:p w14:paraId="6F915BAC" w14:textId="77777777" w:rsidR="00D95F5E" w:rsidRPr="00181A8D" w:rsidRDefault="00D95F5E" w:rsidP="004F27BF">
      <w:pPr>
        <w:autoSpaceDE w:val="0"/>
        <w:autoSpaceDN w:val="0"/>
        <w:adjustRightInd w:val="0"/>
        <w:spacing w:after="0" w:line="240" w:lineRule="auto"/>
        <w:ind w:firstLine="720"/>
        <w:rPr>
          <w:rFonts w:cs="Times New Roman"/>
          <w:kern w:val="0"/>
          <w:sz w:val="24"/>
          <w:szCs w:val="24"/>
        </w:rPr>
      </w:pPr>
    </w:p>
    <w:p w14:paraId="1E6C427D" w14:textId="77777777" w:rsidR="00181A8D" w:rsidRPr="00181A8D" w:rsidRDefault="00181A8D" w:rsidP="00181A8D">
      <w:pPr>
        <w:jc w:val="right"/>
        <w:rPr>
          <w:i/>
          <w:iCs/>
          <w:sz w:val="24"/>
          <w:szCs w:val="24"/>
        </w:rPr>
      </w:pPr>
      <w:r w:rsidRPr="00181A8D">
        <w:rPr>
          <w:i/>
          <w:iCs/>
          <w:sz w:val="24"/>
          <w:szCs w:val="24"/>
        </w:rPr>
        <w:t>Revised Dec. 2023</w:t>
      </w:r>
    </w:p>
    <w:p w14:paraId="0BC3BE8E" w14:textId="77777777" w:rsidR="00FE7F82" w:rsidRDefault="00FE7F82"/>
    <w:p w14:paraId="57E4A1E3" w14:textId="5D72AA48" w:rsidR="00181A8D" w:rsidRDefault="00181A8D"/>
    <w:sectPr w:rsidR="0018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BF"/>
    <w:rsid w:val="00181A8D"/>
    <w:rsid w:val="003A5996"/>
    <w:rsid w:val="004F27BF"/>
    <w:rsid w:val="00887257"/>
    <w:rsid w:val="00977E39"/>
    <w:rsid w:val="00D95F5E"/>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EDA6"/>
  <w15:chartTrackingRefBased/>
  <w15:docId w15:val="{5891D952-4FBE-4A57-8116-810FA420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7BF"/>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81A8D"/>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5</cp:revision>
  <dcterms:created xsi:type="dcterms:W3CDTF">2024-02-04T01:55:00Z</dcterms:created>
  <dcterms:modified xsi:type="dcterms:W3CDTF">2024-03-25T18:57:00Z</dcterms:modified>
</cp:coreProperties>
</file>