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096D" w14:textId="77777777" w:rsidR="00907B90" w:rsidRPr="00491737" w:rsidRDefault="00907B90" w:rsidP="00907B90">
      <w:pPr>
        <w:widowControl w:val="0"/>
        <w:autoSpaceDE w:val="0"/>
        <w:autoSpaceDN w:val="0"/>
        <w:spacing w:after="0" w:line="240" w:lineRule="auto"/>
        <w:jc w:val="center"/>
        <w:rPr>
          <w:rFonts w:eastAsia="Times New Roman" w:cs="Times New Roman"/>
          <w:b/>
          <w:bCs/>
          <w:kern w:val="0"/>
          <w:sz w:val="24"/>
          <w:szCs w:val="24"/>
        </w:rPr>
      </w:pPr>
      <w:r w:rsidRPr="00491737">
        <w:rPr>
          <w:rFonts w:eastAsia="Times New Roman" w:cs="Times New Roman"/>
          <w:b/>
          <w:bCs/>
          <w:kern w:val="0"/>
          <w:sz w:val="24"/>
          <w:szCs w:val="24"/>
        </w:rPr>
        <w:t>17.30 Copyright—Affirmative Defense—Limitation on Liability for Information Residing on Systems or Networks at Direction of Users (17 U.S.C. § 512(c))</w:t>
      </w:r>
    </w:p>
    <w:p w14:paraId="042D738B" w14:textId="77777777" w:rsidR="00907B90" w:rsidRPr="00491737" w:rsidRDefault="00907B90" w:rsidP="00907B90">
      <w:pPr>
        <w:widowControl w:val="0"/>
        <w:autoSpaceDE w:val="0"/>
        <w:autoSpaceDN w:val="0"/>
        <w:spacing w:after="0" w:line="240" w:lineRule="auto"/>
        <w:rPr>
          <w:rFonts w:eastAsia="Times New Roman" w:cs="Times New Roman"/>
          <w:kern w:val="0"/>
          <w:sz w:val="24"/>
          <w:szCs w:val="24"/>
        </w:rPr>
      </w:pPr>
    </w:p>
    <w:p w14:paraId="5EB63FE9" w14:textId="77B85065" w:rsidR="00907B90" w:rsidRPr="00491737" w:rsidRDefault="00907B90" w:rsidP="00907B90">
      <w:pPr>
        <w:widowControl w:val="0"/>
        <w:autoSpaceDE w:val="0"/>
        <w:autoSpaceDN w:val="0"/>
        <w:spacing w:after="0" w:line="240" w:lineRule="auto"/>
        <w:ind w:firstLine="720"/>
        <w:rPr>
          <w:rFonts w:eastAsia="Times New Roman" w:cs="Times New Roman"/>
          <w:kern w:val="0"/>
          <w:sz w:val="24"/>
          <w:szCs w:val="24"/>
        </w:rPr>
      </w:pPr>
      <w:r w:rsidRPr="00491737">
        <w:rPr>
          <w:rFonts w:eastAsia="Times New Roman" w:cs="Times New Roman"/>
          <w:kern w:val="0"/>
          <w:sz w:val="24"/>
          <w:szCs w:val="24"/>
        </w:rPr>
        <w:t>The defendant contends that the defendant is a service provider and therefore is not liable for copyright infringement because the infringement was caused by information residing on the defendant’s systems or networks at the direction of users. The defendant has the burden of proving each element of this defense by a preponderance of the evidence.</w:t>
      </w:r>
    </w:p>
    <w:p w14:paraId="10BEB220" w14:textId="77777777" w:rsidR="00907B90" w:rsidRPr="00491737" w:rsidRDefault="00907B90" w:rsidP="00907B90">
      <w:pPr>
        <w:widowControl w:val="0"/>
        <w:spacing w:after="0" w:line="240" w:lineRule="auto"/>
        <w:rPr>
          <w:rFonts w:cs="Times New Roman"/>
          <w:sz w:val="24"/>
          <w:szCs w:val="24"/>
        </w:rPr>
      </w:pPr>
    </w:p>
    <w:p w14:paraId="7EC43F5A" w14:textId="77777777" w:rsidR="00907B90" w:rsidRPr="00491737" w:rsidRDefault="00907B90" w:rsidP="00907B90">
      <w:pPr>
        <w:widowControl w:val="0"/>
        <w:spacing w:after="0" w:line="240" w:lineRule="auto"/>
        <w:ind w:firstLine="720"/>
        <w:rPr>
          <w:rFonts w:cs="Times New Roman"/>
          <w:sz w:val="24"/>
          <w:szCs w:val="24"/>
        </w:rPr>
      </w:pPr>
      <w:r w:rsidRPr="00491737">
        <w:rPr>
          <w:rFonts w:cs="Times New Roman"/>
          <w:sz w:val="24"/>
          <w:szCs w:val="24"/>
        </w:rPr>
        <w:t>The defendant is eligible to use this defense if the defendant:</w:t>
      </w:r>
    </w:p>
    <w:p w14:paraId="49BF55B5" w14:textId="77777777" w:rsidR="00907B90" w:rsidRPr="00491737" w:rsidRDefault="00907B90" w:rsidP="00907B90">
      <w:pPr>
        <w:widowControl w:val="0"/>
        <w:spacing w:after="0" w:line="240" w:lineRule="auto"/>
        <w:rPr>
          <w:rFonts w:cs="Times New Roman"/>
          <w:sz w:val="24"/>
          <w:szCs w:val="24"/>
        </w:rPr>
      </w:pPr>
    </w:p>
    <w:p w14:paraId="4C47DDE4" w14:textId="63B332F1" w:rsidR="00907B90" w:rsidRPr="00491737" w:rsidRDefault="00907B90" w:rsidP="00EF29A5">
      <w:pPr>
        <w:autoSpaceDE w:val="0"/>
        <w:autoSpaceDN w:val="0"/>
        <w:adjustRightInd w:val="0"/>
        <w:spacing w:after="0" w:line="240" w:lineRule="auto"/>
        <w:ind w:left="1440" w:right="720"/>
        <w:contextualSpacing/>
        <w:rPr>
          <w:rFonts w:cs="Times New Roman"/>
          <w:kern w:val="0"/>
          <w:sz w:val="24"/>
          <w:szCs w:val="24"/>
        </w:rPr>
      </w:pPr>
      <w:r w:rsidRPr="00491737">
        <w:rPr>
          <w:rFonts w:cs="Times New Roman"/>
          <w:kern w:val="0"/>
          <w:sz w:val="24"/>
          <w:szCs w:val="24"/>
        </w:rPr>
        <w:t xml:space="preserve">First, is a service provider of network communication services, online services, or network </w:t>
      </w:r>
      <w:proofErr w:type="gramStart"/>
      <w:r w:rsidRPr="00491737">
        <w:rPr>
          <w:rFonts w:cs="Times New Roman"/>
          <w:kern w:val="0"/>
          <w:sz w:val="24"/>
          <w:szCs w:val="24"/>
        </w:rPr>
        <w:t>access;</w:t>
      </w:r>
      <w:proofErr w:type="gramEnd"/>
    </w:p>
    <w:p w14:paraId="7C184532" w14:textId="77777777" w:rsidR="00907B90" w:rsidRPr="00491737" w:rsidRDefault="00907B90" w:rsidP="00EF29A5">
      <w:pPr>
        <w:autoSpaceDE w:val="0"/>
        <w:autoSpaceDN w:val="0"/>
        <w:adjustRightInd w:val="0"/>
        <w:spacing w:after="0" w:line="240" w:lineRule="auto"/>
        <w:ind w:left="1440" w:right="720"/>
        <w:contextualSpacing/>
        <w:rPr>
          <w:rFonts w:cs="Times New Roman"/>
          <w:kern w:val="0"/>
          <w:sz w:val="24"/>
          <w:szCs w:val="24"/>
        </w:rPr>
      </w:pPr>
    </w:p>
    <w:p w14:paraId="4A239968" w14:textId="6CB622E3" w:rsidR="00907B90" w:rsidRPr="00491737" w:rsidRDefault="00907B90" w:rsidP="00EF29A5">
      <w:pPr>
        <w:autoSpaceDE w:val="0"/>
        <w:autoSpaceDN w:val="0"/>
        <w:adjustRightInd w:val="0"/>
        <w:spacing w:after="0" w:line="240" w:lineRule="auto"/>
        <w:ind w:left="1440" w:right="720"/>
        <w:contextualSpacing/>
        <w:rPr>
          <w:rFonts w:cs="Times New Roman"/>
          <w:kern w:val="0"/>
          <w:sz w:val="24"/>
          <w:szCs w:val="24"/>
        </w:rPr>
      </w:pPr>
      <w:proofErr w:type="gramStart"/>
      <w:r w:rsidRPr="00491737">
        <w:rPr>
          <w:rFonts w:cs="Times New Roman"/>
          <w:kern w:val="0"/>
          <w:sz w:val="24"/>
          <w:szCs w:val="24"/>
        </w:rPr>
        <w:t>Second,  adopted</w:t>
      </w:r>
      <w:proofErr w:type="gramEnd"/>
      <w:r w:rsidRPr="00491737">
        <w:rPr>
          <w:rFonts w:cs="Times New Roman"/>
          <w:kern w:val="0"/>
          <w:sz w:val="24"/>
          <w:szCs w:val="24"/>
        </w:rPr>
        <w:t>, reasonably implemented, and informed users of a policy to terminate users who are repeat copyright infringers;</w:t>
      </w:r>
    </w:p>
    <w:p w14:paraId="52C10991" w14:textId="77777777" w:rsidR="00907B90" w:rsidRPr="00491737" w:rsidRDefault="00907B90" w:rsidP="00EF29A5">
      <w:pPr>
        <w:spacing w:after="0" w:line="240" w:lineRule="auto"/>
        <w:ind w:left="1440"/>
        <w:contextualSpacing/>
        <w:rPr>
          <w:rFonts w:cs="Times New Roman"/>
          <w:kern w:val="0"/>
          <w:sz w:val="24"/>
          <w:szCs w:val="24"/>
        </w:rPr>
      </w:pPr>
    </w:p>
    <w:p w14:paraId="5298D0E6" w14:textId="2297DE5B" w:rsidR="00907B90" w:rsidRPr="00491737" w:rsidRDefault="00907B90" w:rsidP="00EF29A5">
      <w:pPr>
        <w:autoSpaceDE w:val="0"/>
        <w:autoSpaceDN w:val="0"/>
        <w:adjustRightInd w:val="0"/>
        <w:spacing w:after="0" w:line="240" w:lineRule="auto"/>
        <w:ind w:left="1440" w:right="720"/>
        <w:contextualSpacing/>
        <w:rPr>
          <w:rFonts w:cs="Times New Roman"/>
          <w:kern w:val="0"/>
          <w:sz w:val="24"/>
          <w:szCs w:val="24"/>
        </w:rPr>
      </w:pPr>
      <w:r w:rsidRPr="00491737">
        <w:rPr>
          <w:rFonts w:cs="Times New Roman"/>
          <w:kern w:val="0"/>
          <w:sz w:val="24"/>
          <w:szCs w:val="24"/>
        </w:rPr>
        <w:t xml:space="preserve">Third, accommodated and did not interfere with standard technical measures used to identify or protect copyrighted </w:t>
      </w:r>
      <w:proofErr w:type="gramStart"/>
      <w:r w:rsidRPr="00491737">
        <w:rPr>
          <w:rFonts w:cs="Times New Roman"/>
          <w:kern w:val="0"/>
          <w:sz w:val="24"/>
          <w:szCs w:val="24"/>
        </w:rPr>
        <w:t>works;</w:t>
      </w:r>
      <w:proofErr w:type="gramEnd"/>
    </w:p>
    <w:p w14:paraId="4B92DD7F" w14:textId="77777777" w:rsidR="00907B90" w:rsidRPr="00491737" w:rsidRDefault="00907B90" w:rsidP="00EF29A5">
      <w:pPr>
        <w:spacing w:after="0" w:line="240" w:lineRule="auto"/>
        <w:ind w:left="1440"/>
        <w:contextualSpacing/>
        <w:rPr>
          <w:rFonts w:cs="Times New Roman"/>
          <w:kern w:val="0"/>
          <w:sz w:val="24"/>
          <w:szCs w:val="24"/>
        </w:rPr>
      </w:pPr>
    </w:p>
    <w:p w14:paraId="5C483816" w14:textId="48127480" w:rsidR="00907B90" w:rsidRPr="00491737" w:rsidRDefault="00907B90" w:rsidP="00EF29A5">
      <w:pPr>
        <w:autoSpaceDE w:val="0"/>
        <w:autoSpaceDN w:val="0"/>
        <w:adjustRightInd w:val="0"/>
        <w:spacing w:after="0" w:line="240" w:lineRule="auto"/>
        <w:ind w:left="1440" w:right="720"/>
        <w:contextualSpacing/>
        <w:rPr>
          <w:rFonts w:cs="Times New Roman"/>
          <w:kern w:val="0"/>
          <w:sz w:val="24"/>
          <w:szCs w:val="24"/>
        </w:rPr>
      </w:pPr>
      <w:r w:rsidRPr="00491737">
        <w:rPr>
          <w:rFonts w:cs="Times New Roman"/>
          <w:kern w:val="0"/>
          <w:sz w:val="24"/>
          <w:szCs w:val="24"/>
        </w:rPr>
        <w:t>Fourth, designated an agent to receive notifications of claimed infringement, and made the agent’s name, phone number, and email address available on its website and to the Copyright Office; and</w:t>
      </w:r>
    </w:p>
    <w:p w14:paraId="599C93DC" w14:textId="77777777" w:rsidR="00907B90" w:rsidRPr="00491737" w:rsidRDefault="00907B90" w:rsidP="00EF29A5">
      <w:pPr>
        <w:autoSpaceDE w:val="0"/>
        <w:autoSpaceDN w:val="0"/>
        <w:adjustRightInd w:val="0"/>
        <w:spacing w:after="0" w:line="240" w:lineRule="auto"/>
        <w:ind w:left="1440" w:right="720"/>
        <w:rPr>
          <w:rFonts w:cs="Times New Roman"/>
          <w:kern w:val="0"/>
          <w:sz w:val="24"/>
          <w:szCs w:val="24"/>
        </w:rPr>
      </w:pPr>
    </w:p>
    <w:p w14:paraId="66E14007" w14:textId="070C291F" w:rsidR="00907B90" w:rsidRPr="00491737" w:rsidRDefault="00907B90" w:rsidP="0055263A">
      <w:pPr>
        <w:autoSpaceDE w:val="0"/>
        <w:autoSpaceDN w:val="0"/>
        <w:adjustRightInd w:val="0"/>
        <w:spacing w:after="0" w:line="240" w:lineRule="auto"/>
        <w:ind w:left="1440" w:right="720"/>
        <w:rPr>
          <w:rFonts w:cs="Times New Roman"/>
          <w:kern w:val="0"/>
          <w:sz w:val="24"/>
          <w:szCs w:val="24"/>
        </w:rPr>
      </w:pPr>
      <w:r w:rsidRPr="00491737">
        <w:rPr>
          <w:rFonts w:cs="Times New Roman"/>
          <w:kern w:val="0"/>
          <w:sz w:val="24"/>
          <w:szCs w:val="24"/>
        </w:rPr>
        <w:t>Fifth, is facing liability for copyright infringement based on information residing on the defendant’s systems or networks at the direction of users.</w:t>
      </w:r>
    </w:p>
    <w:p w14:paraId="6A6235F7" w14:textId="77777777" w:rsidR="00907B90" w:rsidRPr="00491737" w:rsidRDefault="00907B90" w:rsidP="00907B90">
      <w:pPr>
        <w:autoSpaceDE w:val="0"/>
        <w:autoSpaceDN w:val="0"/>
        <w:adjustRightInd w:val="0"/>
        <w:spacing w:after="0" w:line="240" w:lineRule="auto"/>
        <w:ind w:right="720"/>
        <w:rPr>
          <w:rFonts w:cs="Times New Roman"/>
          <w:kern w:val="0"/>
          <w:sz w:val="24"/>
          <w:szCs w:val="24"/>
        </w:rPr>
      </w:pPr>
    </w:p>
    <w:p w14:paraId="54BD345F" w14:textId="77777777" w:rsidR="00907B90" w:rsidRPr="00491737" w:rsidRDefault="00907B90" w:rsidP="00907B90">
      <w:pPr>
        <w:widowControl w:val="0"/>
        <w:autoSpaceDE w:val="0"/>
        <w:autoSpaceDN w:val="0"/>
        <w:adjustRightInd w:val="0"/>
        <w:spacing w:after="0" w:line="240" w:lineRule="auto"/>
        <w:ind w:firstLine="720"/>
        <w:rPr>
          <w:rFonts w:cs="Times New Roman"/>
          <w:kern w:val="0"/>
          <w:sz w:val="24"/>
          <w:szCs w:val="24"/>
        </w:rPr>
      </w:pPr>
      <w:r w:rsidRPr="00491737">
        <w:rPr>
          <w:rFonts w:cs="Times New Roman"/>
          <w:kern w:val="0"/>
          <w:sz w:val="24"/>
          <w:szCs w:val="24"/>
        </w:rPr>
        <w:t>This defense applies if the defendant:</w:t>
      </w:r>
    </w:p>
    <w:p w14:paraId="798F1313" w14:textId="77777777" w:rsidR="00907B90" w:rsidRPr="00491737" w:rsidRDefault="00907B90" w:rsidP="00907B90">
      <w:pPr>
        <w:widowControl w:val="0"/>
        <w:autoSpaceDE w:val="0"/>
        <w:autoSpaceDN w:val="0"/>
        <w:adjustRightInd w:val="0"/>
        <w:spacing w:after="0" w:line="240" w:lineRule="auto"/>
        <w:rPr>
          <w:rFonts w:cs="Times New Roman"/>
          <w:kern w:val="0"/>
          <w:sz w:val="24"/>
          <w:szCs w:val="24"/>
        </w:rPr>
      </w:pPr>
    </w:p>
    <w:p w14:paraId="00DBB5B2" w14:textId="0E8CFBB9" w:rsidR="00907B90" w:rsidRPr="00491737" w:rsidRDefault="00907B90" w:rsidP="00EF29A5">
      <w:pPr>
        <w:widowControl w:val="0"/>
        <w:autoSpaceDE w:val="0"/>
        <w:autoSpaceDN w:val="0"/>
        <w:adjustRightInd w:val="0"/>
        <w:spacing w:after="0" w:line="240" w:lineRule="auto"/>
        <w:ind w:left="1440" w:right="720"/>
        <w:contextualSpacing/>
        <w:rPr>
          <w:rFonts w:cs="Times New Roman"/>
          <w:kern w:val="0"/>
          <w:sz w:val="24"/>
          <w:szCs w:val="24"/>
        </w:rPr>
      </w:pPr>
      <w:r w:rsidRPr="00491737">
        <w:rPr>
          <w:rFonts w:cs="Times New Roman"/>
          <w:kern w:val="0"/>
          <w:sz w:val="24"/>
          <w:szCs w:val="24"/>
        </w:rPr>
        <w:t xml:space="preserve">First, either (a) lacked actual knowledge that the material or activity on the system or network was infringing, or (b) was not aware of facts or circumstances from which specific infringing activity was apparent, </w:t>
      </w:r>
      <w:proofErr w:type="gramStart"/>
      <w:r w:rsidRPr="00491737">
        <w:rPr>
          <w:rFonts w:cs="Times New Roman"/>
          <w:kern w:val="0"/>
          <w:sz w:val="24"/>
          <w:szCs w:val="24"/>
        </w:rPr>
        <w:t>or  (</w:t>
      </w:r>
      <w:proofErr w:type="gramEnd"/>
      <w:r w:rsidRPr="00491737">
        <w:rPr>
          <w:rFonts w:cs="Times New Roman"/>
          <w:kern w:val="0"/>
          <w:sz w:val="24"/>
          <w:szCs w:val="24"/>
        </w:rPr>
        <w:t>c) upon obtaining knowledge or awareness acted expeditiously to remove or disable access to the material;</w:t>
      </w:r>
    </w:p>
    <w:p w14:paraId="07D60F76" w14:textId="77777777" w:rsidR="00907B90" w:rsidRPr="00491737" w:rsidRDefault="00907B90" w:rsidP="00EF29A5">
      <w:pPr>
        <w:spacing w:after="0" w:line="240" w:lineRule="auto"/>
        <w:ind w:left="1440"/>
        <w:contextualSpacing/>
        <w:rPr>
          <w:rFonts w:cs="Times New Roman"/>
          <w:kern w:val="0"/>
          <w:sz w:val="24"/>
          <w:szCs w:val="24"/>
        </w:rPr>
      </w:pPr>
    </w:p>
    <w:p w14:paraId="3A1BD246" w14:textId="4225DFFE" w:rsidR="00907B90" w:rsidRPr="00491737" w:rsidRDefault="00907B90" w:rsidP="00EF29A5">
      <w:pPr>
        <w:widowControl w:val="0"/>
        <w:autoSpaceDE w:val="0"/>
        <w:autoSpaceDN w:val="0"/>
        <w:adjustRightInd w:val="0"/>
        <w:spacing w:after="0" w:line="240" w:lineRule="auto"/>
        <w:ind w:left="1440" w:right="720"/>
        <w:contextualSpacing/>
        <w:rPr>
          <w:rFonts w:cs="Times New Roman"/>
          <w:kern w:val="0"/>
          <w:sz w:val="24"/>
          <w:szCs w:val="24"/>
        </w:rPr>
      </w:pPr>
      <w:proofErr w:type="gramStart"/>
      <w:r w:rsidRPr="00491737">
        <w:rPr>
          <w:rFonts w:cs="Times New Roman"/>
          <w:kern w:val="0"/>
          <w:sz w:val="24"/>
          <w:szCs w:val="24"/>
        </w:rPr>
        <w:t xml:space="preserve">Second, </w:t>
      </w:r>
      <w:r w:rsidRPr="00491737">
        <w:rPr>
          <w:rFonts w:cs="Times New Roman"/>
          <w:strike/>
          <w:color w:val="FF0000"/>
          <w:kern w:val="0"/>
          <w:sz w:val="24"/>
          <w:szCs w:val="24"/>
        </w:rPr>
        <w:t xml:space="preserve"> </w:t>
      </w:r>
      <w:r w:rsidRPr="00491737">
        <w:rPr>
          <w:rFonts w:cs="Times New Roman"/>
          <w:kern w:val="0"/>
          <w:sz w:val="24"/>
          <w:szCs w:val="24"/>
        </w:rPr>
        <w:t>while</w:t>
      </w:r>
      <w:proofErr w:type="gramEnd"/>
      <w:r w:rsidRPr="00491737">
        <w:rPr>
          <w:rFonts w:cs="Times New Roman"/>
          <w:kern w:val="0"/>
          <w:sz w:val="24"/>
          <w:szCs w:val="24"/>
        </w:rPr>
        <w:t xml:space="preserve"> having the right and ability to control the infringing activity, did not receive a financial benefit directly attributable to the infringing activity; and</w:t>
      </w:r>
    </w:p>
    <w:p w14:paraId="585E9371" w14:textId="77777777" w:rsidR="00907B90" w:rsidRPr="00491737" w:rsidRDefault="00907B90" w:rsidP="00EF29A5">
      <w:pPr>
        <w:spacing w:after="0" w:line="240" w:lineRule="auto"/>
        <w:ind w:left="1440"/>
        <w:contextualSpacing/>
        <w:rPr>
          <w:rFonts w:cs="Times New Roman"/>
          <w:kern w:val="0"/>
          <w:sz w:val="24"/>
          <w:szCs w:val="24"/>
        </w:rPr>
      </w:pPr>
    </w:p>
    <w:p w14:paraId="3F4B4DA3" w14:textId="77777777" w:rsidR="00907B90" w:rsidRPr="00491737" w:rsidRDefault="00907B90" w:rsidP="00EF29A5">
      <w:pPr>
        <w:widowControl w:val="0"/>
        <w:autoSpaceDE w:val="0"/>
        <w:autoSpaceDN w:val="0"/>
        <w:adjustRightInd w:val="0"/>
        <w:spacing w:after="0" w:line="240" w:lineRule="auto"/>
        <w:ind w:left="1440" w:right="720"/>
        <w:contextualSpacing/>
        <w:rPr>
          <w:rFonts w:cs="Times New Roman"/>
          <w:kern w:val="0"/>
          <w:sz w:val="24"/>
          <w:szCs w:val="24"/>
        </w:rPr>
      </w:pPr>
      <w:r w:rsidRPr="0055263A">
        <w:rPr>
          <w:rFonts w:cs="Times New Roman"/>
          <w:kern w:val="0"/>
          <w:sz w:val="24"/>
          <w:szCs w:val="24"/>
        </w:rPr>
        <w:t>Third,</w:t>
      </w:r>
      <w:r w:rsidRPr="00491737">
        <w:rPr>
          <w:rFonts w:cs="Times New Roman"/>
          <w:kern w:val="0"/>
          <w:sz w:val="24"/>
          <w:szCs w:val="24"/>
        </w:rPr>
        <w:t xml:space="preserve"> upon receiving a valid notification of claimed infringement, acted expeditiously to </w:t>
      </w:r>
      <w:proofErr w:type="gramStart"/>
      <w:r w:rsidRPr="00491737">
        <w:rPr>
          <w:rFonts w:cs="Times New Roman"/>
          <w:kern w:val="0"/>
          <w:sz w:val="24"/>
          <w:szCs w:val="24"/>
        </w:rPr>
        <w:t>remove</w:t>
      </w:r>
      <w:proofErr w:type="gramEnd"/>
      <w:r w:rsidRPr="00491737">
        <w:rPr>
          <w:rFonts w:cs="Times New Roman"/>
          <w:kern w:val="0"/>
          <w:sz w:val="24"/>
          <w:szCs w:val="24"/>
        </w:rPr>
        <w:t xml:space="preserve"> or disable access to the material.</w:t>
      </w:r>
    </w:p>
    <w:p w14:paraId="46EE3C28" w14:textId="77777777" w:rsidR="00907B90" w:rsidRPr="00491737" w:rsidRDefault="00907B90" w:rsidP="00907B90">
      <w:pPr>
        <w:widowControl w:val="0"/>
        <w:autoSpaceDE w:val="0"/>
        <w:autoSpaceDN w:val="0"/>
        <w:adjustRightInd w:val="0"/>
        <w:spacing w:after="0" w:line="240" w:lineRule="auto"/>
        <w:rPr>
          <w:rFonts w:cs="Times New Roman"/>
          <w:kern w:val="0"/>
          <w:sz w:val="24"/>
          <w:szCs w:val="24"/>
        </w:rPr>
      </w:pPr>
    </w:p>
    <w:p w14:paraId="3C86B17C" w14:textId="77777777" w:rsidR="00907B90" w:rsidRPr="00491737" w:rsidRDefault="00907B90" w:rsidP="00907B90">
      <w:pPr>
        <w:widowControl w:val="0"/>
        <w:autoSpaceDE w:val="0"/>
        <w:autoSpaceDN w:val="0"/>
        <w:adjustRightInd w:val="0"/>
        <w:spacing w:after="0" w:line="240" w:lineRule="auto"/>
        <w:ind w:firstLine="720"/>
        <w:rPr>
          <w:rFonts w:cs="Times New Roman"/>
          <w:kern w:val="0"/>
          <w:sz w:val="24"/>
          <w:szCs w:val="24"/>
        </w:rPr>
      </w:pPr>
      <w:r w:rsidRPr="00491737">
        <w:rPr>
          <w:rFonts w:cs="Times New Roman"/>
          <w:kern w:val="0"/>
          <w:sz w:val="24"/>
          <w:szCs w:val="24"/>
        </w:rPr>
        <w:t>If you find the defendant has proved all of these elements, your verdict should be for the defendant. If, on the other hand, you find that the defendant has failed to prove any of these elements, the defendant is not entitled to prevail on this affirmative defense.</w:t>
      </w:r>
    </w:p>
    <w:p w14:paraId="1653AB8E" w14:textId="77777777" w:rsidR="00907B90" w:rsidRPr="00491737" w:rsidRDefault="00907B90" w:rsidP="00907B90">
      <w:pPr>
        <w:widowControl w:val="0"/>
        <w:autoSpaceDE w:val="0"/>
        <w:autoSpaceDN w:val="0"/>
        <w:adjustRightInd w:val="0"/>
        <w:spacing w:after="0" w:line="240" w:lineRule="auto"/>
        <w:rPr>
          <w:rFonts w:cs="Times New Roman"/>
          <w:kern w:val="0"/>
          <w:sz w:val="24"/>
          <w:szCs w:val="24"/>
        </w:rPr>
      </w:pPr>
    </w:p>
    <w:p w14:paraId="22E92155" w14:textId="77777777" w:rsidR="00907B90" w:rsidRPr="00491737" w:rsidRDefault="00907B90" w:rsidP="00907B90">
      <w:pPr>
        <w:widowControl w:val="0"/>
        <w:autoSpaceDE w:val="0"/>
        <w:autoSpaceDN w:val="0"/>
        <w:adjustRightInd w:val="0"/>
        <w:spacing w:after="0" w:line="240" w:lineRule="auto"/>
        <w:jc w:val="center"/>
        <w:rPr>
          <w:rFonts w:cs="Times New Roman"/>
          <w:kern w:val="0"/>
          <w:sz w:val="24"/>
          <w:szCs w:val="24"/>
        </w:rPr>
      </w:pPr>
      <w:r w:rsidRPr="00491737">
        <w:rPr>
          <w:rFonts w:cs="Times New Roman"/>
          <w:b/>
          <w:bCs/>
          <w:kern w:val="0"/>
          <w:sz w:val="24"/>
          <w:szCs w:val="24"/>
        </w:rPr>
        <w:t>Comment</w:t>
      </w:r>
    </w:p>
    <w:p w14:paraId="64B07CF0" w14:textId="77777777" w:rsidR="00907B90" w:rsidRPr="00491737" w:rsidRDefault="00907B90" w:rsidP="00907B90">
      <w:pPr>
        <w:widowControl w:val="0"/>
        <w:autoSpaceDE w:val="0"/>
        <w:autoSpaceDN w:val="0"/>
        <w:adjustRightInd w:val="0"/>
        <w:spacing w:after="0" w:line="240" w:lineRule="auto"/>
        <w:rPr>
          <w:rFonts w:cs="Times New Roman"/>
          <w:kern w:val="0"/>
          <w:sz w:val="24"/>
          <w:szCs w:val="24"/>
        </w:rPr>
      </w:pPr>
    </w:p>
    <w:p w14:paraId="61B5F2D4" w14:textId="52B6972E" w:rsidR="00907B90" w:rsidRPr="00491737" w:rsidRDefault="00907B90" w:rsidP="00907B90">
      <w:pPr>
        <w:widowControl w:val="0"/>
        <w:autoSpaceDE w:val="0"/>
        <w:autoSpaceDN w:val="0"/>
        <w:adjustRightInd w:val="0"/>
        <w:spacing w:after="0" w:line="240" w:lineRule="auto"/>
        <w:ind w:firstLine="720"/>
        <w:rPr>
          <w:rFonts w:cs="Times New Roman"/>
          <w:kern w:val="0"/>
          <w:sz w:val="24"/>
          <w:szCs w:val="24"/>
        </w:rPr>
      </w:pPr>
      <w:r w:rsidRPr="00491737">
        <w:rPr>
          <w:rFonts w:cs="Times New Roman"/>
          <w:kern w:val="0"/>
          <w:sz w:val="24"/>
          <w:szCs w:val="24"/>
        </w:rPr>
        <w:t>This instruction is based on 17 U.S.C. § 512(c), (</w:t>
      </w:r>
      <w:proofErr w:type="spellStart"/>
      <w:r w:rsidRPr="00491737">
        <w:rPr>
          <w:rFonts w:cs="Times New Roman"/>
          <w:kern w:val="0"/>
          <w:sz w:val="24"/>
          <w:szCs w:val="24"/>
        </w:rPr>
        <w:t>i</w:t>
      </w:r>
      <w:proofErr w:type="spellEnd"/>
      <w:r w:rsidRPr="00491737">
        <w:rPr>
          <w:rFonts w:cs="Times New Roman"/>
          <w:kern w:val="0"/>
          <w:sz w:val="24"/>
          <w:szCs w:val="24"/>
        </w:rPr>
        <w:t>), and (k).</w:t>
      </w:r>
    </w:p>
    <w:p w14:paraId="1C31A195" w14:textId="77777777" w:rsidR="00907B90" w:rsidRPr="00491737" w:rsidRDefault="00907B90" w:rsidP="00907B90">
      <w:pPr>
        <w:widowControl w:val="0"/>
        <w:autoSpaceDE w:val="0"/>
        <w:autoSpaceDN w:val="0"/>
        <w:adjustRightInd w:val="0"/>
        <w:spacing w:after="0" w:line="240" w:lineRule="auto"/>
        <w:rPr>
          <w:rFonts w:cs="Times New Roman"/>
          <w:kern w:val="0"/>
          <w:sz w:val="24"/>
          <w:szCs w:val="24"/>
        </w:rPr>
      </w:pPr>
    </w:p>
    <w:p w14:paraId="3710A08E" w14:textId="6F96B119" w:rsidR="00907B90" w:rsidRPr="00491737" w:rsidRDefault="00907B90" w:rsidP="00907B90">
      <w:pPr>
        <w:widowControl w:val="0"/>
        <w:autoSpaceDE w:val="0"/>
        <w:autoSpaceDN w:val="0"/>
        <w:adjustRightInd w:val="0"/>
        <w:spacing w:after="0" w:line="240" w:lineRule="auto"/>
        <w:ind w:firstLine="720"/>
        <w:rPr>
          <w:rFonts w:cs="Times New Roman"/>
          <w:kern w:val="0"/>
          <w:sz w:val="24"/>
          <w:szCs w:val="24"/>
        </w:rPr>
      </w:pPr>
      <w:r w:rsidRPr="00491737">
        <w:rPr>
          <w:rFonts w:cs="Times New Roman"/>
          <w:kern w:val="0"/>
          <w:sz w:val="24"/>
          <w:szCs w:val="24"/>
        </w:rPr>
        <w:t xml:space="preserve">For a definition of a service provider of network communication services, </w:t>
      </w:r>
      <w:r w:rsidRPr="00491737">
        <w:rPr>
          <w:rFonts w:cs="Times New Roman"/>
          <w:i/>
          <w:iCs/>
          <w:kern w:val="0"/>
          <w:sz w:val="24"/>
          <w:szCs w:val="24"/>
        </w:rPr>
        <w:t>see</w:t>
      </w:r>
      <w:r w:rsidRPr="00491737">
        <w:rPr>
          <w:rFonts w:cs="Times New Roman"/>
          <w:kern w:val="0"/>
          <w:sz w:val="24"/>
          <w:szCs w:val="24"/>
        </w:rPr>
        <w:t xml:space="preserve"> Instruction 17.27 (Copyright—Affirmative Defense—Service Provider of Network Communications Services Defined). For commentary on a reasonably implemented policy for the termination of users who are repeat infringers, </w:t>
      </w:r>
      <w:r w:rsidRPr="00491737">
        <w:rPr>
          <w:rFonts w:cs="Times New Roman"/>
          <w:i/>
          <w:iCs/>
          <w:kern w:val="0"/>
          <w:sz w:val="24"/>
          <w:szCs w:val="24"/>
        </w:rPr>
        <w:t>see</w:t>
      </w:r>
      <w:r w:rsidRPr="00491737">
        <w:rPr>
          <w:rFonts w:cs="Times New Roman"/>
          <w:kern w:val="0"/>
          <w:sz w:val="24"/>
          <w:szCs w:val="24"/>
        </w:rPr>
        <w:t xml:space="preserve"> Instruction 17.28 (Copyright—Affirmative Defense—Limitation on Liability for Transitory Digital Network Communications). For an instruction on the requirements for a valid notice of claimed infringement, </w:t>
      </w:r>
      <w:r w:rsidRPr="00491737">
        <w:rPr>
          <w:rFonts w:cs="Times New Roman"/>
          <w:i/>
          <w:iCs/>
          <w:kern w:val="0"/>
          <w:sz w:val="24"/>
          <w:szCs w:val="24"/>
        </w:rPr>
        <w:t>see</w:t>
      </w:r>
      <w:r w:rsidRPr="00491737">
        <w:rPr>
          <w:rFonts w:cs="Times New Roman"/>
          <w:kern w:val="0"/>
          <w:sz w:val="24"/>
          <w:szCs w:val="24"/>
        </w:rPr>
        <w:t xml:space="preserve"> Instruction 17.29 (Copyright—Affirmative Defense—Limitation on Liability for System Caching).</w:t>
      </w:r>
    </w:p>
    <w:p w14:paraId="13EC2FBF" w14:textId="77777777" w:rsidR="00907B90" w:rsidRPr="00491737" w:rsidRDefault="00907B90" w:rsidP="00907B90">
      <w:pPr>
        <w:widowControl w:val="0"/>
        <w:autoSpaceDE w:val="0"/>
        <w:autoSpaceDN w:val="0"/>
        <w:adjustRightInd w:val="0"/>
        <w:spacing w:after="0" w:line="240" w:lineRule="auto"/>
        <w:ind w:firstLine="720"/>
        <w:rPr>
          <w:rFonts w:cs="Times New Roman"/>
          <w:kern w:val="0"/>
          <w:sz w:val="24"/>
          <w:szCs w:val="24"/>
        </w:rPr>
      </w:pPr>
    </w:p>
    <w:p w14:paraId="66F062CA" w14:textId="41D2997A" w:rsidR="00907B90" w:rsidRPr="00491737" w:rsidRDefault="00907B90" w:rsidP="00907B90">
      <w:pPr>
        <w:widowControl w:val="0"/>
        <w:autoSpaceDE w:val="0"/>
        <w:autoSpaceDN w:val="0"/>
        <w:adjustRightInd w:val="0"/>
        <w:spacing w:after="0" w:line="240" w:lineRule="auto"/>
        <w:ind w:firstLine="720"/>
        <w:rPr>
          <w:rFonts w:cs="Times New Roman"/>
          <w:kern w:val="0"/>
          <w:sz w:val="24"/>
          <w:szCs w:val="24"/>
        </w:rPr>
      </w:pPr>
      <w:r w:rsidRPr="00491737">
        <w:rPr>
          <w:rFonts w:cs="Times New Roman"/>
          <w:b/>
          <w:bCs/>
          <w:kern w:val="0"/>
          <w:sz w:val="24"/>
          <w:szCs w:val="24"/>
        </w:rPr>
        <w:t xml:space="preserve">Liability for Acts of Moderators or Similar Persons: </w:t>
      </w:r>
      <w:r w:rsidRPr="00491737">
        <w:rPr>
          <w:rFonts w:cs="Times New Roman"/>
          <w:kern w:val="0"/>
          <w:sz w:val="24"/>
          <w:szCs w:val="24"/>
        </w:rPr>
        <w:t xml:space="preserve">Applying the common law of agency, a website may be liable for the acts of its unpaid moderators or other third parties who select, screen, or curate the site’s content. </w:t>
      </w:r>
      <w:proofErr w:type="spellStart"/>
      <w:r w:rsidRPr="00491737">
        <w:rPr>
          <w:rFonts w:cs="Times New Roman"/>
          <w:i/>
          <w:iCs/>
          <w:kern w:val="0"/>
          <w:sz w:val="24"/>
          <w:szCs w:val="24"/>
        </w:rPr>
        <w:t>Mavrix</w:t>
      </w:r>
      <w:proofErr w:type="spellEnd"/>
      <w:r w:rsidRPr="00491737">
        <w:rPr>
          <w:rFonts w:cs="Times New Roman"/>
          <w:i/>
          <w:iCs/>
          <w:kern w:val="0"/>
          <w:sz w:val="24"/>
          <w:szCs w:val="24"/>
        </w:rPr>
        <w:t xml:space="preserve"> Photographs, LLC v. LiveJournal, Inc.</w:t>
      </w:r>
      <w:r w:rsidRPr="00491737">
        <w:rPr>
          <w:rFonts w:cs="Times New Roman"/>
          <w:kern w:val="0"/>
          <w:sz w:val="24"/>
          <w:szCs w:val="24"/>
        </w:rPr>
        <w:t>, 873 F.3d 1045, 1055</w:t>
      </w:r>
      <w:r w:rsidRPr="00491737">
        <w:rPr>
          <w:rFonts w:cs="Times New Roman"/>
          <w:kern w:val="0"/>
          <w:sz w:val="24"/>
          <w:szCs w:val="24"/>
          <w:vertAlign w:val="superscript"/>
        </w:rPr>
        <w:t xml:space="preserve"> </w:t>
      </w:r>
      <w:r w:rsidRPr="00491737">
        <w:rPr>
          <w:rFonts w:cs="Times New Roman"/>
          <w:kern w:val="0"/>
          <w:sz w:val="24"/>
          <w:szCs w:val="24"/>
        </w:rPr>
        <w:t>(9th Cir. 2017) (holding that “common law agency principles apply to the analysis of whether a service provider like LiveJournal is liable for the acts of [its] moderators”).</w:t>
      </w:r>
    </w:p>
    <w:p w14:paraId="2F0AC643" w14:textId="77777777" w:rsidR="00907B90" w:rsidRPr="00491737" w:rsidRDefault="00907B90" w:rsidP="00907B90">
      <w:pPr>
        <w:widowControl w:val="0"/>
        <w:autoSpaceDE w:val="0"/>
        <w:autoSpaceDN w:val="0"/>
        <w:adjustRightInd w:val="0"/>
        <w:spacing w:after="0" w:line="240" w:lineRule="auto"/>
        <w:ind w:firstLine="720"/>
        <w:rPr>
          <w:rFonts w:cs="Times New Roman"/>
          <w:kern w:val="0"/>
          <w:sz w:val="24"/>
          <w:szCs w:val="24"/>
        </w:rPr>
      </w:pPr>
    </w:p>
    <w:p w14:paraId="4B64BAE0" w14:textId="4756A806" w:rsidR="00907B90" w:rsidRPr="00491737" w:rsidRDefault="00907B90" w:rsidP="00907B90">
      <w:pPr>
        <w:widowControl w:val="0"/>
        <w:autoSpaceDE w:val="0"/>
        <w:autoSpaceDN w:val="0"/>
        <w:adjustRightInd w:val="0"/>
        <w:spacing w:after="0" w:line="240" w:lineRule="auto"/>
        <w:ind w:firstLine="720"/>
        <w:rPr>
          <w:rFonts w:cs="Times New Roman"/>
          <w:kern w:val="0"/>
          <w:sz w:val="24"/>
          <w:szCs w:val="24"/>
        </w:rPr>
      </w:pPr>
      <w:r w:rsidRPr="00491737">
        <w:rPr>
          <w:rFonts w:cs="Times New Roman"/>
          <w:b/>
          <w:bCs/>
          <w:kern w:val="0"/>
          <w:sz w:val="24"/>
          <w:szCs w:val="24"/>
        </w:rPr>
        <w:t>Information Residing on Systems or Networks at the Direction of Users:</w:t>
      </w:r>
      <w:r w:rsidRPr="00491737">
        <w:rPr>
          <w:rFonts w:cs="Times New Roman"/>
          <w:kern w:val="0"/>
          <w:sz w:val="24"/>
          <w:szCs w:val="24"/>
        </w:rPr>
        <w:t xml:space="preserve"> Information residing on systems or networks need “not actually reside on [the defendant’s] servers.” </w:t>
      </w:r>
      <w:r w:rsidRPr="00491737">
        <w:rPr>
          <w:rFonts w:cs="Times New Roman"/>
          <w:i/>
          <w:iCs/>
          <w:kern w:val="0"/>
          <w:sz w:val="24"/>
          <w:szCs w:val="24"/>
        </w:rPr>
        <w:t>Columbia Pictures Indus., Inc. v. Fung</w:t>
      </w:r>
      <w:r w:rsidRPr="00491737">
        <w:rPr>
          <w:rFonts w:cs="Times New Roman"/>
          <w:kern w:val="0"/>
          <w:sz w:val="24"/>
          <w:szCs w:val="24"/>
        </w:rPr>
        <w:t>, 710 F.3d 1020, 1042-43</w:t>
      </w:r>
      <w:r w:rsidRPr="00491737">
        <w:rPr>
          <w:rFonts w:cs="Times New Roman"/>
          <w:kern w:val="0"/>
          <w:sz w:val="24"/>
          <w:szCs w:val="24"/>
          <w:vertAlign w:val="superscript"/>
        </w:rPr>
        <w:t xml:space="preserve"> </w:t>
      </w:r>
      <w:r w:rsidRPr="00491737">
        <w:rPr>
          <w:rFonts w:cs="Times New Roman"/>
          <w:kern w:val="0"/>
          <w:sz w:val="24"/>
          <w:szCs w:val="24"/>
        </w:rPr>
        <w:t>(9th Cir. 2013) (concluding that storage of “torrent” files that do not contain infringing content themselves, but are used to facilitate copyright infringement, would be “facially eligible for the safe harbor”).</w:t>
      </w:r>
    </w:p>
    <w:p w14:paraId="7262089A" w14:textId="77777777" w:rsidR="00907B90" w:rsidRPr="00491737" w:rsidRDefault="00907B90" w:rsidP="00907B90">
      <w:pPr>
        <w:widowControl w:val="0"/>
        <w:autoSpaceDE w:val="0"/>
        <w:autoSpaceDN w:val="0"/>
        <w:adjustRightInd w:val="0"/>
        <w:spacing w:after="0" w:line="240" w:lineRule="auto"/>
        <w:ind w:firstLine="720"/>
        <w:rPr>
          <w:rFonts w:cs="Times New Roman"/>
          <w:kern w:val="0"/>
          <w:sz w:val="24"/>
          <w:szCs w:val="24"/>
        </w:rPr>
      </w:pPr>
    </w:p>
    <w:p w14:paraId="35F0E4FF" w14:textId="5D52D6DC" w:rsidR="00907B90" w:rsidRPr="00491737" w:rsidRDefault="00907B90" w:rsidP="00907B90">
      <w:pPr>
        <w:widowControl w:val="0"/>
        <w:autoSpaceDE w:val="0"/>
        <w:autoSpaceDN w:val="0"/>
        <w:adjustRightInd w:val="0"/>
        <w:spacing w:after="0" w:line="240" w:lineRule="auto"/>
        <w:ind w:firstLine="720"/>
        <w:rPr>
          <w:rFonts w:cs="Times New Roman"/>
          <w:kern w:val="0"/>
          <w:sz w:val="24"/>
          <w:szCs w:val="24"/>
        </w:rPr>
      </w:pPr>
      <w:r w:rsidRPr="00491737">
        <w:rPr>
          <w:rFonts w:cs="Times New Roman"/>
          <w:b/>
          <w:bCs/>
          <w:kern w:val="0"/>
          <w:sz w:val="24"/>
          <w:szCs w:val="24"/>
        </w:rPr>
        <w:t>Actual Knowledge of Infringement:</w:t>
      </w:r>
      <w:r w:rsidRPr="00491737">
        <w:rPr>
          <w:rFonts w:cs="Times New Roman"/>
          <w:kern w:val="0"/>
          <w:sz w:val="24"/>
          <w:szCs w:val="24"/>
        </w:rPr>
        <w:t xml:space="preserve"> Actual knowledge of the specific infringing material is required; general knowledge that the defendant’s services could be used for copyright infringement is insufficient. </w:t>
      </w:r>
      <w:r w:rsidRPr="00491737">
        <w:rPr>
          <w:rFonts w:cs="Times New Roman"/>
          <w:i/>
          <w:iCs/>
          <w:kern w:val="0"/>
          <w:sz w:val="24"/>
          <w:szCs w:val="24"/>
        </w:rPr>
        <w:t>UMG Recordings, Inc. v. Shelter Cap. Partners, LLC</w:t>
      </w:r>
      <w:r w:rsidRPr="00491737">
        <w:rPr>
          <w:rFonts w:cs="Times New Roman"/>
          <w:kern w:val="0"/>
          <w:sz w:val="24"/>
          <w:szCs w:val="24"/>
        </w:rPr>
        <w:t>, 718 F.3d 1006, 1022</w:t>
      </w:r>
      <w:r w:rsidRPr="00491737">
        <w:rPr>
          <w:rFonts w:cs="Times New Roman"/>
          <w:kern w:val="0"/>
          <w:sz w:val="24"/>
          <w:szCs w:val="24"/>
          <w:vertAlign w:val="superscript"/>
        </w:rPr>
        <w:t xml:space="preserve"> </w:t>
      </w:r>
      <w:r w:rsidRPr="00491737">
        <w:rPr>
          <w:rFonts w:cs="Times New Roman"/>
          <w:kern w:val="0"/>
          <w:sz w:val="24"/>
          <w:szCs w:val="24"/>
        </w:rPr>
        <w:t>(9th Cir. 2013). Notifications about copyright infringement from a party who is not the copyright holder does not provide actual knowledge of infringement under § 512(c)(1)(A)(</w:t>
      </w:r>
      <w:proofErr w:type="spellStart"/>
      <w:r w:rsidRPr="00491737">
        <w:rPr>
          <w:rFonts w:cs="Times New Roman"/>
          <w:kern w:val="0"/>
          <w:sz w:val="24"/>
          <w:szCs w:val="24"/>
        </w:rPr>
        <w:t>i</w:t>
      </w:r>
      <w:proofErr w:type="spellEnd"/>
      <w:r w:rsidRPr="00491737">
        <w:rPr>
          <w:rFonts w:cs="Times New Roman"/>
          <w:kern w:val="0"/>
          <w:sz w:val="24"/>
          <w:szCs w:val="24"/>
        </w:rPr>
        <w:t xml:space="preserve">). </w:t>
      </w:r>
      <w:r w:rsidRPr="00491737">
        <w:rPr>
          <w:rFonts w:cs="Times New Roman"/>
          <w:i/>
          <w:iCs/>
          <w:kern w:val="0"/>
          <w:sz w:val="24"/>
          <w:szCs w:val="24"/>
        </w:rPr>
        <w:t>Id.</w:t>
      </w:r>
      <w:r w:rsidRPr="00491737">
        <w:rPr>
          <w:rFonts w:cs="Times New Roman"/>
          <w:kern w:val="0"/>
          <w:sz w:val="24"/>
          <w:szCs w:val="24"/>
        </w:rPr>
        <w:t xml:space="preserve"> at 1025.</w:t>
      </w:r>
    </w:p>
    <w:p w14:paraId="758DD796" w14:textId="77777777" w:rsidR="00907B90" w:rsidRPr="00491737" w:rsidRDefault="00907B90" w:rsidP="00907B90">
      <w:pPr>
        <w:widowControl w:val="0"/>
        <w:autoSpaceDE w:val="0"/>
        <w:autoSpaceDN w:val="0"/>
        <w:adjustRightInd w:val="0"/>
        <w:spacing w:after="0" w:line="240" w:lineRule="auto"/>
        <w:ind w:firstLine="720"/>
        <w:rPr>
          <w:rFonts w:cs="Times New Roman"/>
          <w:kern w:val="0"/>
          <w:sz w:val="24"/>
          <w:szCs w:val="24"/>
        </w:rPr>
      </w:pPr>
    </w:p>
    <w:p w14:paraId="5D94843C" w14:textId="0912FB92" w:rsidR="00907B90" w:rsidRPr="00491737" w:rsidRDefault="00907B90" w:rsidP="00907B90">
      <w:pPr>
        <w:autoSpaceDE w:val="0"/>
        <w:autoSpaceDN w:val="0"/>
        <w:adjustRightInd w:val="0"/>
        <w:spacing w:after="0" w:line="240" w:lineRule="auto"/>
        <w:ind w:firstLine="720"/>
        <w:rPr>
          <w:rFonts w:cs="Times New Roman"/>
          <w:color w:val="000000"/>
          <w:kern w:val="0"/>
          <w:sz w:val="24"/>
          <w:szCs w:val="24"/>
        </w:rPr>
      </w:pPr>
      <w:r w:rsidRPr="00491737">
        <w:rPr>
          <w:rFonts w:cs="Times New Roman"/>
          <w:b/>
          <w:bCs/>
          <w:color w:val="000000"/>
          <w:kern w:val="0"/>
          <w:sz w:val="24"/>
          <w:szCs w:val="24"/>
        </w:rPr>
        <w:t xml:space="preserve">Awareness of Facts or Circumstances from which Specific Infringing Activity Is Apparent (Also Known As “Red Flag” Knowledge): </w:t>
      </w:r>
      <w:r w:rsidRPr="00491737">
        <w:rPr>
          <w:rFonts w:cs="Times New Roman"/>
          <w:color w:val="000000"/>
          <w:kern w:val="0"/>
          <w:sz w:val="24"/>
          <w:szCs w:val="24"/>
        </w:rPr>
        <w:t>“Red flag knowledge arises when a</w:t>
      </w:r>
      <w:r w:rsidRPr="00491737">
        <w:rPr>
          <w:rFonts w:cs="Times New Roman"/>
          <w:b/>
          <w:bCs/>
          <w:color w:val="000000"/>
          <w:kern w:val="0"/>
          <w:sz w:val="24"/>
          <w:szCs w:val="24"/>
        </w:rPr>
        <w:t xml:space="preserve"> </w:t>
      </w:r>
      <w:r w:rsidRPr="00491737">
        <w:rPr>
          <w:rFonts w:cs="Times New Roman"/>
          <w:color w:val="000000"/>
          <w:kern w:val="0"/>
          <w:sz w:val="24"/>
          <w:szCs w:val="24"/>
        </w:rPr>
        <w:t>service provider is aware of facts that would have made the specific infringement objectively</w:t>
      </w:r>
      <w:r w:rsidRPr="00491737">
        <w:rPr>
          <w:rFonts w:cs="Times New Roman"/>
          <w:b/>
          <w:bCs/>
          <w:color w:val="000000"/>
          <w:kern w:val="0"/>
          <w:sz w:val="24"/>
          <w:szCs w:val="24"/>
        </w:rPr>
        <w:t xml:space="preserve"> </w:t>
      </w:r>
      <w:r w:rsidRPr="00491737">
        <w:rPr>
          <w:rFonts w:cs="Times New Roman"/>
          <w:color w:val="000000"/>
          <w:kern w:val="0"/>
          <w:sz w:val="24"/>
          <w:szCs w:val="24"/>
        </w:rPr>
        <w:t xml:space="preserve">obvious to a reasonable person.” </w:t>
      </w:r>
      <w:proofErr w:type="spellStart"/>
      <w:r w:rsidRPr="00491737">
        <w:rPr>
          <w:rFonts w:cs="Times New Roman"/>
          <w:i/>
          <w:iCs/>
          <w:color w:val="000000"/>
          <w:kern w:val="0"/>
          <w:sz w:val="24"/>
          <w:szCs w:val="24"/>
        </w:rPr>
        <w:t>Mavrix</w:t>
      </w:r>
      <w:proofErr w:type="spellEnd"/>
      <w:r w:rsidRPr="00491737">
        <w:rPr>
          <w:rFonts w:cs="Times New Roman"/>
          <w:color w:val="000000"/>
          <w:kern w:val="0"/>
          <w:sz w:val="24"/>
          <w:szCs w:val="24"/>
        </w:rPr>
        <w:t>, 873 F.3d at 1057 (internal quotation marks and citation omitted). A fact or</w:t>
      </w:r>
      <w:r w:rsidRPr="00491737">
        <w:rPr>
          <w:rFonts w:cs="Times New Roman"/>
          <w:b/>
          <w:bCs/>
          <w:color w:val="000000"/>
          <w:kern w:val="0"/>
          <w:sz w:val="24"/>
          <w:szCs w:val="24"/>
        </w:rPr>
        <w:t xml:space="preserve"> </w:t>
      </w:r>
      <w:r w:rsidRPr="00491737">
        <w:rPr>
          <w:rFonts w:cs="Times New Roman"/>
          <w:color w:val="000000"/>
          <w:kern w:val="0"/>
          <w:sz w:val="24"/>
          <w:szCs w:val="24"/>
        </w:rPr>
        <w:t>circumstance from which infringing activity is apparent must be about a specific instance of</w:t>
      </w:r>
      <w:r w:rsidRPr="00491737">
        <w:rPr>
          <w:rFonts w:cs="Times New Roman"/>
          <w:b/>
          <w:bCs/>
          <w:color w:val="000000"/>
          <w:kern w:val="0"/>
          <w:sz w:val="24"/>
          <w:szCs w:val="24"/>
        </w:rPr>
        <w:t xml:space="preserve"> </w:t>
      </w:r>
      <w:r w:rsidRPr="00491737">
        <w:rPr>
          <w:rFonts w:cs="Times New Roman"/>
          <w:color w:val="000000"/>
          <w:kern w:val="0"/>
          <w:sz w:val="24"/>
          <w:szCs w:val="24"/>
        </w:rPr>
        <w:t xml:space="preserve">copyright infringement. </w:t>
      </w:r>
      <w:proofErr w:type="gramStart"/>
      <w:r w:rsidRPr="00491737">
        <w:rPr>
          <w:rFonts w:cs="Times New Roman"/>
          <w:i/>
          <w:iCs/>
          <w:color w:val="000000"/>
          <w:kern w:val="0"/>
          <w:sz w:val="24"/>
          <w:szCs w:val="24"/>
        </w:rPr>
        <w:t>Id.</w:t>
      </w:r>
      <w:r w:rsidRPr="00491737">
        <w:rPr>
          <w:rFonts w:cs="Times New Roman"/>
          <w:color w:val="000000"/>
          <w:kern w:val="0"/>
          <w:sz w:val="24"/>
          <w:szCs w:val="24"/>
        </w:rPr>
        <w:t>;</w:t>
      </w:r>
      <w:proofErr w:type="gramEnd"/>
      <w:r w:rsidRPr="00491737">
        <w:rPr>
          <w:rFonts w:cs="Times New Roman"/>
          <w:color w:val="000000"/>
          <w:kern w:val="0"/>
          <w:sz w:val="24"/>
          <w:szCs w:val="24"/>
        </w:rPr>
        <w:t xml:space="preserve"> </w:t>
      </w:r>
      <w:r w:rsidRPr="00491737">
        <w:rPr>
          <w:rFonts w:cs="Times New Roman"/>
          <w:i/>
          <w:iCs/>
          <w:color w:val="000000"/>
          <w:kern w:val="0"/>
          <w:sz w:val="24"/>
          <w:szCs w:val="24"/>
        </w:rPr>
        <w:t>see also UMG Recordings, Inc.</w:t>
      </w:r>
      <w:r w:rsidRPr="00491737">
        <w:rPr>
          <w:rFonts w:cs="Times New Roman"/>
          <w:color w:val="000000"/>
          <w:kern w:val="0"/>
          <w:sz w:val="24"/>
          <w:szCs w:val="24"/>
        </w:rPr>
        <w:t>, 718 F.3d at 1024</w:t>
      </w:r>
      <w:r w:rsidRPr="00491737">
        <w:rPr>
          <w:rFonts w:cs="Times New Roman"/>
          <w:i/>
          <w:iCs/>
          <w:color w:val="000000"/>
          <w:kern w:val="0"/>
          <w:sz w:val="24"/>
          <w:szCs w:val="24"/>
        </w:rPr>
        <w:t xml:space="preserve"> </w:t>
      </w:r>
      <w:r w:rsidRPr="00491737">
        <w:rPr>
          <w:rFonts w:cs="Times New Roman"/>
          <w:color w:val="000000"/>
          <w:kern w:val="0"/>
          <w:sz w:val="24"/>
          <w:szCs w:val="24"/>
        </w:rPr>
        <w:t>( concluding that news reports discussing general problem of copyright</w:t>
      </w:r>
      <w:r w:rsidRPr="00491737">
        <w:rPr>
          <w:rFonts w:cs="Times New Roman"/>
          <w:b/>
          <w:bCs/>
          <w:color w:val="000000"/>
          <w:kern w:val="0"/>
          <w:sz w:val="24"/>
          <w:szCs w:val="24"/>
        </w:rPr>
        <w:t xml:space="preserve"> </w:t>
      </w:r>
      <w:r w:rsidRPr="00491737">
        <w:rPr>
          <w:rFonts w:cs="Times New Roman"/>
          <w:color w:val="000000"/>
          <w:kern w:val="0"/>
          <w:sz w:val="24"/>
          <w:szCs w:val="24"/>
        </w:rPr>
        <w:t>infringement on website and CEO’s acknowledgment of this general problem were not enough to</w:t>
      </w:r>
      <w:r w:rsidRPr="00491737">
        <w:rPr>
          <w:rFonts w:cs="Times New Roman"/>
          <w:b/>
          <w:bCs/>
          <w:color w:val="000000"/>
          <w:kern w:val="0"/>
          <w:sz w:val="24"/>
          <w:szCs w:val="24"/>
        </w:rPr>
        <w:t xml:space="preserve"> </w:t>
      </w:r>
      <w:r w:rsidRPr="00491737">
        <w:rPr>
          <w:rFonts w:cs="Times New Roman"/>
          <w:color w:val="000000"/>
          <w:kern w:val="0"/>
          <w:sz w:val="24"/>
          <w:szCs w:val="24"/>
        </w:rPr>
        <w:t xml:space="preserve">meet the knowledge requirements under </w:t>
      </w:r>
      <w:r w:rsidRPr="00491737">
        <w:rPr>
          <w:rFonts w:cs="Times New Roman"/>
          <w:kern w:val="0"/>
          <w:sz w:val="24"/>
          <w:szCs w:val="24"/>
        </w:rPr>
        <w:t>§ 512(c)(1)(A)</w:t>
      </w:r>
      <w:r w:rsidRPr="00491737">
        <w:rPr>
          <w:rFonts w:cs="Times New Roman"/>
          <w:color w:val="000000"/>
          <w:kern w:val="0"/>
          <w:sz w:val="24"/>
          <w:szCs w:val="24"/>
        </w:rPr>
        <w:t>). However, evidence that the defendant actually knew about specific infringing</w:t>
      </w:r>
      <w:r w:rsidRPr="00491737">
        <w:rPr>
          <w:rFonts w:cs="Times New Roman"/>
          <w:b/>
          <w:bCs/>
          <w:color w:val="000000"/>
          <w:kern w:val="0"/>
          <w:sz w:val="24"/>
          <w:szCs w:val="24"/>
        </w:rPr>
        <w:t xml:space="preserve"> </w:t>
      </w:r>
      <w:r w:rsidRPr="00491737">
        <w:rPr>
          <w:rFonts w:cs="Times New Roman"/>
          <w:color w:val="000000"/>
          <w:kern w:val="0"/>
          <w:sz w:val="24"/>
          <w:szCs w:val="24"/>
        </w:rPr>
        <w:t>activity could suffice to make that infringing activity apparent</w:t>
      </w:r>
      <w:r w:rsidRPr="00491737">
        <w:rPr>
          <w:rFonts w:cs="Times New Roman"/>
          <w:i/>
          <w:iCs/>
          <w:color w:val="000000"/>
          <w:kern w:val="0"/>
          <w:sz w:val="24"/>
          <w:szCs w:val="24"/>
        </w:rPr>
        <w:t>. Columbia Pictures Indus., Inc.</w:t>
      </w:r>
      <w:r w:rsidRPr="00491737">
        <w:rPr>
          <w:rFonts w:cs="Times New Roman"/>
          <w:color w:val="000000"/>
          <w:kern w:val="0"/>
          <w:sz w:val="24"/>
          <w:szCs w:val="24"/>
        </w:rPr>
        <w:t>,</w:t>
      </w:r>
      <w:r w:rsidRPr="00491737">
        <w:rPr>
          <w:rFonts w:cs="Times New Roman"/>
          <w:b/>
          <w:bCs/>
          <w:color w:val="000000"/>
          <w:kern w:val="0"/>
          <w:sz w:val="24"/>
          <w:szCs w:val="24"/>
        </w:rPr>
        <w:t xml:space="preserve"> </w:t>
      </w:r>
      <w:r w:rsidRPr="00491737">
        <w:rPr>
          <w:rFonts w:cs="Times New Roman"/>
          <w:color w:val="000000"/>
          <w:kern w:val="0"/>
          <w:sz w:val="24"/>
          <w:szCs w:val="24"/>
        </w:rPr>
        <w:t>710 F.3d at 1043 (holding that evidence that defendant encouraged and assisted users who</w:t>
      </w:r>
      <w:r w:rsidRPr="00491737">
        <w:rPr>
          <w:rFonts w:cs="Times New Roman"/>
          <w:b/>
          <w:bCs/>
          <w:color w:val="000000"/>
          <w:kern w:val="0"/>
          <w:sz w:val="24"/>
          <w:szCs w:val="24"/>
        </w:rPr>
        <w:t xml:space="preserve"> </w:t>
      </w:r>
      <w:r w:rsidRPr="00491737">
        <w:rPr>
          <w:rFonts w:cs="Times New Roman"/>
          <w:color w:val="000000"/>
          <w:kern w:val="0"/>
          <w:sz w:val="24"/>
          <w:szCs w:val="24"/>
        </w:rPr>
        <w:t>were infringing copyright in “current and well-known” works created “red flag” knowledge of</w:t>
      </w:r>
      <w:r w:rsidRPr="00491737">
        <w:rPr>
          <w:rFonts w:cs="Times New Roman"/>
          <w:b/>
          <w:bCs/>
          <w:color w:val="000000"/>
          <w:kern w:val="0"/>
          <w:sz w:val="24"/>
          <w:szCs w:val="24"/>
        </w:rPr>
        <w:t xml:space="preserve"> </w:t>
      </w:r>
      <w:r w:rsidRPr="00491737">
        <w:rPr>
          <w:rFonts w:cs="Times New Roman"/>
          <w:color w:val="000000"/>
          <w:kern w:val="0"/>
          <w:sz w:val="24"/>
          <w:szCs w:val="24"/>
        </w:rPr>
        <w:t>infringement). A characteristic of the website itself must be very apparent to qualify as a fact or</w:t>
      </w:r>
      <w:r w:rsidRPr="00491737">
        <w:rPr>
          <w:rFonts w:cs="Times New Roman"/>
          <w:b/>
          <w:bCs/>
          <w:color w:val="000000"/>
          <w:kern w:val="0"/>
          <w:sz w:val="24"/>
          <w:szCs w:val="24"/>
        </w:rPr>
        <w:t xml:space="preserve"> </w:t>
      </w:r>
      <w:r w:rsidRPr="00491737">
        <w:rPr>
          <w:rFonts w:cs="Times New Roman"/>
          <w:color w:val="000000"/>
          <w:kern w:val="0"/>
          <w:sz w:val="24"/>
          <w:szCs w:val="24"/>
        </w:rPr>
        <w:t xml:space="preserve">circumstance from which infringing activity is apparent. </w:t>
      </w:r>
      <w:r w:rsidRPr="00491737">
        <w:rPr>
          <w:rFonts w:cs="Times New Roman"/>
          <w:i/>
          <w:iCs/>
          <w:color w:val="000000"/>
          <w:kern w:val="0"/>
          <w:sz w:val="24"/>
          <w:szCs w:val="24"/>
        </w:rPr>
        <w:t xml:space="preserve">Perfect 10, Inc. v. </w:t>
      </w:r>
      <w:proofErr w:type="spellStart"/>
      <w:r w:rsidRPr="00491737">
        <w:rPr>
          <w:rFonts w:cs="Times New Roman"/>
          <w:i/>
          <w:iCs/>
          <w:color w:val="000000"/>
          <w:kern w:val="0"/>
          <w:sz w:val="24"/>
          <w:szCs w:val="24"/>
        </w:rPr>
        <w:t>CCBill</w:t>
      </w:r>
      <w:proofErr w:type="spellEnd"/>
      <w:r w:rsidRPr="00491737">
        <w:rPr>
          <w:rFonts w:cs="Times New Roman"/>
          <w:i/>
          <w:iCs/>
          <w:color w:val="000000"/>
          <w:kern w:val="0"/>
          <w:sz w:val="24"/>
          <w:szCs w:val="24"/>
        </w:rPr>
        <w:t xml:space="preserve"> LLC</w:t>
      </w:r>
      <w:r w:rsidRPr="00491737">
        <w:rPr>
          <w:rFonts w:cs="Times New Roman"/>
          <w:color w:val="000000"/>
          <w:kern w:val="0"/>
          <w:sz w:val="24"/>
          <w:szCs w:val="24"/>
        </w:rPr>
        <w:t>, 488</w:t>
      </w:r>
      <w:r w:rsidRPr="00491737">
        <w:rPr>
          <w:rFonts w:cs="Times New Roman"/>
          <w:b/>
          <w:bCs/>
          <w:color w:val="000000"/>
          <w:kern w:val="0"/>
          <w:sz w:val="24"/>
          <w:szCs w:val="24"/>
        </w:rPr>
        <w:t xml:space="preserve"> </w:t>
      </w:r>
      <w:r w:rsidRPr="00491737">
        <w:rPr>
          <w:rFonts w:cs="Times New Roman"/>
          <w:color w:val="000000"/>
          <w:kern w:val="0"/>
          <w:sz w:val="24"/>
          <w:szCs w:val="24"/>
        </w:rPr>
        <w:t>F.3d 1102, 1114 (9th Cir. 2007) (holding that website names such as “illegal.net” or</w:t>
      </w:r>
      <w:r w:rsidRPr="00491737">
        <w:rPr>
          <w:rFonts w:cs="Times New Roman"/>
          <w:b/>
          <w:bCs/>
          <w:color w:val="000000"/>
          <w:kern w:val="0"/>
          <w:sz w:val="24"/>
          <w:szCs w:val="24"/>
        </w:rPr>
        <w:t xml:space="preserve"> </w:t>
      </w:r>
      <w:r w:rsidRPr="00491737">
        <w:rPr>
          <w:rFonts w:cs="Times New Roman"/>
          <w:color w:val="000000"/>
          <w:kern w:val="0"/>
          <w:sz w:val="24"/>
          <w:szCs w:val="24"/>
        </w:rPr>
        <w:t xml:space="preserve">“stolencelebritypics.com” do not automatically function as red flags signaling </w:t>
      </w:r>
      <w:r w:rsidRPr="00491737">
        <w:rPr>
          <w:rFonts w:cs="Times New Roman"/>
          <w:color w:val="000000"/>
          <w:kern w:val="0"/>
          <w:sz w:val="24"/>
          <w:szCs w:val="24"/>
        </w:rPr>
        <w:lastRenderedPageBreak/>
        <w:t xml:space="preserve">infringement); </w:t>
      </w:r>
      <w:r w:rsidRPr="00491737">
        <w:rPr>
          <w:rFonts w:cs="Times New Roman"/>
          <w:i/>
          <w:iCs/>
          <w:color w:val="000000"/>
          <w:kern w:val="0"/>
          <w:sz w:val="24"/>
          <w:szCs w:val="24"/>
        </w:rPr>
        <w:t>see</w:t>
      </w:r>
      <w:r w:rsidRPr="00491737">
        <w:rPr>
          <w:rFonts w:cs="Times New Roman"/>
          <w:b/>
          <w:bCs/>
          <w:color w:val="000000"/>
          <w:kern w:val="0"/>
          <w:sz w:val="24"/>
          <w:szCs w:val="24"/>
        </w:rPr>
        <w:t xml:space="preserve"> </w:t>
      </w:r>
      <w:r w:rsidRPr="00491737">
        <w:rPr>
          <w:rFonts w:cs="Times New Roman"/>
          <w:i/>
          <w:iCs/>
          <w:color w:val="000000"/>
          <w:kern w:val="0"/>
          <w:sz w:val="24"/>
          <w:szCs w:val="24"/>
        </w:rPr>
        <w:t>also UMG Recordings, Inc.</w:t>
      </w:r>
      <w:r w:rsidRPr="00491737">
        <w:rPr>
          <w:rFonts w:cs="Times New Roman"/>
          <w:color w:val="000000"/>
          <w:kern w:val="0"/>
          <w:sz w:val="24"/>
          <w:szCs w:val="24"/>
        </w:rPr>
        <w:t>, 718 F.3d at 1022-23 (“[H]</w:t>
      </w:r>
      <w:proofErr w:type="spellStart"/>
      <w:r w:rsidRPr="00491737">
        <w:rPr>
          <w:rFonts w:cs="Times New Roman"/>
          <w:color w:val="000000"/>
          <w:kern w:val="0"/>
          <w:sz w:val="24"/>
          <w:szCs w:val="24"/>
        </w:rPr>
        <w:t>osting</w:t>
      </w:r>
      <w:proofErr w:type="spellEnd"/>
      <w:r w:rsidRPr="00491737">
        <w:rPr>
          <w:rFonts w:cs="Times New Roman"/>
          <w:color w:val="000000"/>
          <w:kern w:val="0"/>
          <w:sz w:val="24"/>
          <w:szCs w:val="24"/>
        </w:rPr>
        <w:t xml:space="preserve"> a category of copyrightable content”</w:t>
      </w:r>
      <w:r w:rsidRPr="00491737">
        <w:rPr>
          <w:rFonts w:cs="Times New Roman"/>
          <w:b/>
          <w:bCs/>
          <w:color w:val="000000"/>
          <w:kern w:val="0"/>
          <w:sz w:val="24"/>
          <w:szCs w:val="24"/>
        </w:rPr>
        <w:t xml:space="preserve"> </w:t>
      </w:r>
      <w:r w:rsidRPr="00491737">
        <w:rPr>
          <w:rFonts w:cs="Times New Roman"/>
          <w:color w:val="000000"/>
          <w:kern w:val="0"/>
          <w:sz w:val="24"/>
          <w:szCs w:val="24"/>
        </w:rPr>
        <w:t xml:space="preserve">with knowledge that “services could be used for infringement is insufficient to constitute a red flag.”). Although notices from </w:t>
      </w:r>
      <w:proofErr w:type="spellStart"/>
      <w:r w:rsidRPr="00491737">
        <w:rPr>
          <w:rFonts w:cs="Times New Roman"/>
          <w:color w:val="000000"/>
          <w:kern w:val="0"/>
          <w:sz w:val="24"/>
          <w:szCs w:val="24"/>
        </w:rPr>
        <w:t>noncopyright</w:t>
      </w:r>
      <w:proofErr w:type="spellEnd"/>
      <w:r w:rsidRPr="00491737">
        <w:rPr>
          <w:rFonts w:cs="Times New Roman"/>
          <w:color w:val="000000"/>
          <w:kern w:val="0"/>
          <w:sz w:val="24"/>
          <w:szCs w:val="24"/>
        </w:rPr>
        <w:t xml:space="preserve"> holders do not convey actual knowledge of</w:t>
      </w:r>
      <w:r w:rsidRPr="00491737">
        <w:rPr>
          <w:rFonts w:cs="Times New Roman"/>
          <w:b/>
          <w:bCs/>
          <w:color w:val="000000"/>
          <w:kern w:val="0"/>
          <w:sz w:val="24"/>
          <w:szCs w:val="24"/>
        </w:rPr>
        <w:t xml:space="preserve"> </w:t>
      </w:r>
      <w:r w:rsidRPr="00491737">
        <w:rPr>
          <w:rFonts w:cs="Times New Roman"/>
          <w:color w:val="000000"/>
          <w:kern w:val="0"/>
          <w:sz w:val="24"/>
          <w:szCs w:val="24"/>
        </w:rPr>
        <w:t xml:space="preserve">infringement, they can serve as red flags that make infringing activity apparent. </w:t>
      </w:r>
      <w:r w:rsidRPr="00491737">
        <w:rPr>
          <w:rFonts w:cs="Times New Roman"/>
          <w:i/>
          <w:iCs/>
          <w:color w:val="000000"/>
          <w:kern w:val="0"/>
          <w:sz w:val="24"/>
          <w:szCs w:val="24"/>
        </w:rPr>
        <w:t xml:space="preserve">Id. </w:t>
      </w:r>
      <w:r w:rsidRPr="00491737">
        <w:rPr>
          <w:rFonts w:cs="Times New Roman"/>
          <w:color w:val="000000"/>
          <w:kern w:val="0"/>
          <w:sz w:val="24"/>
          <w:szCs w:val="24"/>
        </w:rPr>
        <w:t>at 1025.</w:t>
      </w:r>
    </w:p>
    <w:p w14:paraId="25A1DD9F" w14:textId="77777777" w:rsidR="00907B90" w:rsidRPr="00491737" w:rsidRDefault="00907B90" w:rsidP="00907B90">
      <w:pPr>
        <w:autoSpaceDE w:val="0"/>
        <w:autoSpaceDN w:val="0"/>
        <w:adjustRightInd w:val="0"/>
        <w:spacing w:after="0" w:line="240" w:lineRule="auto"/>
        <w:ind w:firstLine="720"/>
        <w:rPr>
          <w:rFonts w:cs="Times New Roman"/>
          <w:color w:val="000000"/>
          <w:kern w:val="0"/>
          <w:sz w:val="24"/>
          <w:szCs w:val="24"/>
        </w:rPr>
      </w:pPr>
    </w:p>
    <w:p w14:paraId="4DBFDED9" w14:textId="0C2CE544" w:rsidR="00907B90" w:rsidRPr="00491737" w:rsidRDefault="00907B90" w:rsidP="00907B90">
      <w:pPr>
        <w:autoSpaceDE w:val="0"/>
        <w:autoSpaceDN w:val="0"/>
        <w:adjustRightInd w:val="0"/>
        <w:spacing w:after="0" w:line="240" w:lineRule="auto"/>
        <w:ind w:firstLine="720"/>
        <w:rPr>
          <w:rFonts w:cs="Times New Roman"/>
          <w:kern w:val="0"/>
          <w:sz w:val="24"/>
          <w:szCs w:val="24"/>
        </w:rPr>
      </w:pPr>
      <w:r w:rsidRPr="00491737">
        <w:rPr>
          <w:rFonts w:cs="Times New Roman"/>
          <w:b/>
          <w:bCs/>
          <w:kern w:val="0"/>
          <w:sz w:val="24"/>
          <w:szCs w:val="24"/>
        </w:rPr>
        <w:t xml:space="preserve">Financial Benefit Directly Attributable to Infringing Activity/Right and Ability to Control: </w:t>
      </w:r>
      <w:r w:rsidRPr="00491737">
        <w:rPr>
          <w:rFonts w:cs="Times New Roman"/>
          <w:kern w:val="0"/>
          <w:sz w:val="24"/>
          <w:szCs w:val="24"/>
        </w:rPr>
        <w:t>The requirement that the service provider have not received a financial benefit directly</w:t>
      </w:r>
      <w:r w:rsidRPr="00491737">
        <w:rPr>
          <w:rFonts w:cs="Times New Roman"/>
          <w:b/>
          <w:bCs/>
          <w:kern w:val="0"/>
          <w:sz w:val="24"/>
          <w:szCs w:val="24"/>
        </w:rPr>
        <w:t xml:space="preserve"> </w:t>
      </w:r>
      <w:r w:rsidRPr="00491737">
        <w:rPr>
          <w:rFonts w:cs="Times New Roman"/>
          <w:kern w:val="0"/>
          <w:sz w:val="24"/>
          <w:szCs w:val="24"/>
        </w:rPr>
        <w:t>attributable to the infringement activity applies “in a case in which the service provider has the right and ability to control such activity.” 17 U.S.C. § 512(c)(1)(B). To have “the right and ability to</w:t>
      </w:r>
      <w:r w:rsidRPr="00491737">
        <w:rPr>
          <w:rFonts w:cs="Times New Roman"/>
          <w:b/>
          <w:bCs/>
          <w:kern w:val="0"/>
          <w:sz w:val="24"/>
          <w:szCs w:val="24"/>
        </w:rPr>
        <w:t xml:space="preserve"> </w:t>
      </w:r>
      <w:r w:rsidRPr="00491737">
        <w:rPr>
          <w:rFonts w:cs="Times New Roman"/>
          <w:kern w:val="0"/>
          <w:sz w:val="24"/>
          <w:szCs w:val="24"/>
        </w:rPr>
        <w:t xml:space="preserve">control,” the service provider must exert “substantial influence on the activities of users.” </w:t>
      </w:r>
      <w:r w:rsidRPr="00491737">
        <w:rPr>
          <w:rFonts w:cs="Times New Roman"/>
          <w:i/>
          <w:iCs/>
          <w:kern w:val="0"/>
          <w:sz w:val="24"/>
          <w:szCs w:val="24"/>
        </w:rPr>
        <w:t>UMG</w:t>
      </w:r>
      <w:r w:rsidRPr="00491737">
        <w:rPr>
          <w:rFonts w:cs="Times New Roman"/>
          <w:b/>
          <w:bCs/>
          <w:kern w:val="0"/>
          <w:sz w:val="24"/>
          <w:szCs w:val="24"/>
        </w:rPr>
        <w:t xml:space="preserve"> </w:t>
      </w:r>
      <w:r w:rsidRPr="00491737">
        <w:rPr>
          <w:rFonts w:cs="Times New Roman"/>
          <w:i/>
          <w:iCs/>
          <w:kern w:val="0"/>
          <w:sz w:val="24"/>
          <w:szCs w:val="24"/>
        </w:rPr>
        <w:t>Recordings, Inc.</w:t>
      </w:r>
      <w:r w:rsidRPr="00491737">
        <w:rPr>
          <w:rFonts w:cs="Times New Roman"/>
          <w:kern w:val="0"/>
          <w:sz w:val="24"/>
          <w:szCs w:val="24"/>
        </w:rPr>
        <w:t>, 718 F.3d at 1030 (citation omitted). “Substantial influence” may include high levels of control</w:t>
      </w:r>
      <w:r w:rsidRPr="00491737">
        <w:rPr>
          <w:rFonts w:cs="Times New Roman"/>
          <w:b/>
          <w:bCs/>
          <w:kern w:val="0"/>
          <w:sz w:val="24"/>
          <w:szCs w:val="24"/>
        </w:rPr>
        <w:t xml:space="preserve"> </w:t>
      </w:r>
      <w:r w:rsidRPr="00491737">
        <w:rPr>
          <w:rFonts w:cs="Times New Roman"/>
          <w:kern w:val="0"/>
          <w:sz w:val="24"/>
          <w:szCs w:val="24"/>
        </w:rPr>
        <w:t>over the activities of users; “purposeful, culpable expression and conduct”; active involvement</w:t>
      </w:r>
      <w:r w:rsidRPr="00491737">
        <w:rPr>
          <w:rFonts w:cs="Times New Roman"/>
          <w:b/>
          <w:bCs/>
          <w:kern w:val="0"/>
          <w:sz w:val="24"/>
          <w:szCs w:val="24"/>
        </w:rPr>
        <w:t xml:space="preserve"> </w:t>
      </w:r>
      <w:r w:rsidRPr="00491737">
        <w:rPr>
          <w:rFonts w:cs="Times New Roman"/>
          <w:kern w:val="0"/>
          <w:sz w:val="24"/>
          <w:szCs w:val="24"/>
        </w:rPr>
        <w:t xml:space="preserve">by the service provider in the listing, bidding, </w:t>
      </w:r>
      <w:proofErr w:type="gramStart"/>
      <w:r w:rsidRPr="00491737">
        <w:rPr>
          <w:rFonts w:cs="Times New Roman"/>
          <w:kern w:val="0"/>
          <w:sz w:val="24"/>
          <w:szCs w:val="24"/>
        </w:rPr>
        <w:t>sale</w:t>
      </w:r>
      <w:proofErr w:type="gramEnd"/>
      <w:r w:rsidRPr="00491737">
        <w:rPr>
          <w:rFonts w:cs="Times New Roman"/>
          <w:kern w:val="0"/>
          <w:sz w:val="24"/>
          <w:szCs w:val="24"/>
        </w:rPr>
        <w:t xml:space="preserve"> and delivery of items offered for sale; or</w:t>
      </w:r>
      <w:r w:rsidRPr="00491737">
        <w:rPr>
          <w:rFonts w:cs="Times New Roman"/>
          <w:b/>
          <w:bCs/>
          <w:kern w:val="0"/>
          <w:sz w:val="24"/>
          <w:szCs w:val="24"/>
        </w:rPr>
        <w:t xml:space="preserve"> </w:t>
      </w:r>
      <w:r w:rsidRPr="00491737">
        <w:rPr>
          <w:rFonts w:cs="Times New Roman"/>
          <w:kern w:val="0"/>
          <w:sz w:val="24"/>
          <w:szCs w:val="24"/>
        </w:rPr>
        <w:t>control of vendor sales through the previewing of products prior to their listing, the editing of</w:t>
      </w:r>
      <w:r w:rsidRPr="00491737">
        <w:rPr>
          <w:rFonts w:cs="Times New Roman"/>
          <w:b/>
          <w:bCs/>
          <w:kern w:val="0"/>
          <w:sz w:val="24"/>
          <w:szCs w:val="24"/>
        </w:rPr>
        <w:t xml:space="preserve"> </w:t>
      </w:r>
      <w:r w:rsidRPr="00491737">
        <w:rPr>
          <w:rFonts w:cs="Times New Roman"/>
          <w:kern w:val="0"/>
          <w:sz w:val="24"/>
          <w:szCs w:val="24"/>
        </w:rPr>
        <w:t xml:space="preserve">product descriptions, or the suggesting of prices. </w:t>
      </w:r>
      <w:r w:rsidRPr="00491737">
        <w:rPr>
          <w:rFonts w:cs="Times New Roman"/>
          <w:i/>
          <w:iCs/>
          <w:kern w:val="0"/>
          <w:sz w:val="24"/>
          <w:szCs w:val="24"/>
        </w:rPr>
        <w:t xml:space="preserve">Id. </w:t>
      </w:r>
      <w:r w:rsidRPr="00491737">
        <w:rPr>
          <w:rFonts w:cs="Times New Roman"/>
          <w:kern w:val="0"/>
          <w:sz w:val="24"/>
          <w:szCs w:val="24"/>
        </w:rPr>
        <w:t xml:space="preserve">(quoting </w:t>
      </w:r>
      <w:r w:rsidRPr="00491737">
        <w:rPr>
          <w:rFonts w:cs="Times New Roman"/>
          <w:i/>
          <w:iCs/>
          <w:kern w:val="0"/>
          <w:sz w:val="24"/>
          <w:szCs w:val="24"/>
        </w:rPr>
        <w:t>Viacom Int’l, Inc. v. YouTube, Inc.</w:t>
      </w:r>
      <w:r w:rsidRPr="00491737">
        <w:rPr>
          <w:rFonts w:cs="Times New Roman"/>
          <w:kern w:val="0"/>
          <w:sz w:val="24"/>
          <w:szCs w:val="24"/>
        </w:rPr>
        <w:t>,</w:t>
      </w:r>
      <w:r w:rsidRPr="00491737">
        <w:rPr>
          <w:rFonts w:cs="Times New Roman"/>
          <w:b/>
          <w:bCs/>
          <w:kern w:val="0"/>
          <w:sz w:val="24"/>
          <w:szCs w:val="24"/>
        </w:rPr>
        <w:t xml:space="preserve"> </w:t>
      </w:r>
      <w:r w:rsidRPr="00491737">
        <w:rPr>
          <w:rFonts w:cs="Times New Roman"/>
          <w:kern w:val="0"/>
          <w:sz w:val="24"/>
          <w:szCs w:val="24"/>
        </w:rPr>
        <w:t>676 F.3d 19, 38 (2d Cir. 2012)).</w:t>
      </w:r>
    </w:p>
    <w:p w14:paraId="54D50C9D" w14:textId="77777777" w:rsidR="00907B90" w:rsidRPr="00491737" w:rsidRDefault="00907B90" w:rsidP="00907B90">
      <w:pPr>
        <w:autoSpaceDE w:val="0"/>
        <w:autoSpaceDN w:val="0"/>
        <w:adjustRightInd w:val="0"/>
        <w:spacing w:after="0" w:line="240" w:lineRule="auto"/>
        <w:ind w:firstLine="720"/>
        <w:rPr>
          <w:rFonts w:cs="Times New Roman"/>
          <w:b/>
          <w:bCs/>
          <w:kern w:val="0"/>
          <w:sz w:val="24"/>
          <w:szCs w:val="24"/>
        </w:rPr>
      </w:pPr>
    </w:p>
    <w:p w14:paraId="233180EC" w14:textId="316429F0" w:rsidR="00FE7F82" w:rsidRDefault="00907B90" w:rsidP="00907B90">
      <w:pPr>
        <w:ind w:firstLine="720"/>
        <w:rPr>
          <w:rFonts w:cs="Times New Roman"/>
          <w:kern w:val="0"/>
          <w:sz w:val="24"/>
          <w:szCs w:val="24"/>
        </w:rPr>
      </w:pPr>
      <w:r w:rsidRPr="00491737">
        <w:rPr>
          <w:rFonts w:cs="Times New Roman"/>
          <w:kern w:val="0"/>
          <w:sz w:val="24"/>
          <w:szCs w:val="24"/>
        </w:rPr>
        <w:t xml:space="preserve">“In determining whether the financial benefit criterion is satisfied, courts should take a common-sense, fact-based approach, not a formalistic one.” </w:t>
      </w:r>
      <w:proofErr w:type="spellStart"/>
      <w:r w:rsidRPr="00491737">
        <w:rPr>
          <w:rFonts w:cs="Times New Roman"/>
          <w:i/>
          <w:iCs/>
          <w:kern w:val="0"/>
          <w:sz w:val="24"/>
          <w:szCs w:val="24"/>
        </w:rPr>
        <w:t>Mavrix</w:t>
      </w:r>
      <w:proofErr w:type="spellEnd"/>
      <w:r w:rsidRPr="00491737">
        <w:rPr>
          <w:rFonts w:cs="Times New Roman"/>
          <w:kern w:val="0"/>
          <w:sz w:val="24"/>
          <w:szCs w:val="24"/>
        </w:rPr>
        <w:t xml:space="preserve">, 873 F.3d at 1059 (9th Cir. 2017) (quoting S. Rep. No. 105-190, at 44 (1998)). The relevant inquiry regarding direct financial benefit is “whether the infringing activity constitutes a draw for subscribers, not just an added benefit.” </w:t>
      </w:r>
      <w:r w:rsidRPr="00491737">
        <w:rPr>
          <w:rFonts w:cs="Times New Roman"/>
          <w:i/>
          <w:iCs/>
          <w:kern w:val="0"/>
          <w:sz w:val="24"/>
          <w:szCs w:val="24"/>
        </w:rPr>
        <w:t>Perfect 10</w:t>
      </w:r>
      <w:r w:rsidRPr="00491737">
        <w:rPr>
          <w:rFonts w:cs="Times New Roman"/>
          <w:kern w:val="0"/>
          <w:sz w:val="24"/>
          <w:szCs w:val="24"/>
        </w:rPr>
        <w:t xml:space="preserve">, 488 F.3d at 1117 (quoting </w:t>
      </w:r>
      <w:r w:rsidRPr="00491737">
        <w:rPr>
          <w:rFonts w:cs="Times New Roman"/>
          <w:i/>
          <w:iCs/>
          <w:kern w:val="0"/>
          <w:sz w:val="24"/>
          <w:szCs w:val="24"/>
        </w:rPr>
        <w:t>Ellison v. Robertson</w:t>
      </w:r>
      <w:r w:rsidRPr="00491737">
        <w:rPr>
          <w:rFonts w:cs="Times New Roman"/>
          <w:kern w:val="0"/>
          <w:sz w:val="24"/>
          <w:szCs w:val="24"/>
        </w:rPr>
        <w:t xml:space="preserve">, 357 F.3d 1072, 1079 (9th Cir. 2004)). A “one-time set-up fee [or] flat, periodic payments” for the service provided does not qualify. </w:t>
      </w:r>
      <w:r w:rsidRPr="00491737">
        <w:rPr>
          <w:rFonts w:cs="Times New Roman"/>
          <w:i/>
          <w:iCs/>
          <w:kern w:val="0"/>
          <w:sz w:val="24"/>
          <w:szCs w:val="24"/>
        </w:rPr>
        <w:t xml:space="preserve">Id. </w:t>
      </w:r>
      <w:r w:rsidRPr="00491737">
        <w:rPr>
          <w:rFonts w:cs="Times New Roman"/>
          <w:kern w:val="0"/>
          <w:sz w:val="24"/>
          <w:szCs w:val="24"/>
        </w:rPr>
        <w:t xml:space="preserve">at 1118 (citation omitted). “The financial benefit need not be substantial or a large proportion of the service provider’s revenue.” </w:t>
      </w:r>
      <w:proofErr w:type="spellStart"/>
      <w:r w:rsidRPr="00491737">
        <w:rPr>
          <w:rFonts w:cs="Times New Roman"/>
          <w:i/>
          <w:iCs/>
          <w:kern w:val="0"/>
          <w:sz w:val="24"/>
          <w:szCs w:val="24"/>
        </w:rPr>
        <w:t>Mavrix</w:t>
      </w:r>
      <w:proofErr w:type="spellEnd"/>
      <w:r w:rsidRPr="00491737">
        <w:rPr>
          <w:rFonts w:cs="Times New Roman"/>
          <w:kern w:val="0"/>
          <w:sz w:val="24"/>
          <w:szCs w:val="24"/>
        </w:rPr>
        <w:t>, 873 F.3d at 1059 (citation omitted).</w:t>
      </w:r>
    </w:p>
    <w:p w14:paraId="71FE2A66" w14:textId="0DDFA22D" w:rsidR="00627581" w:rsidRPr="00627581" w:rsidRDefault="00627581" w:rsidP="00627581">
      <w:pPr>
        <w:jc w:val="right"/>
        <w:rPr>
          <w:i/>
          <w:iCs/>
          <w:sz w:val="24"/>
          <w:szCs w:val="24"/>
        </w:rPr>
      </w:pPr>
      <w:r w:rsidRPr="00627581">
        <w:rPr>
          <w:i/>
          <w:iCs/>
          <w:sz w:val="24"/>
          <w:szCs w:val="24"/>
        </w:rPr>
        <w:t>Revised Dec. 2023</w:t>
      </w:r>
    </w:p>
    <w:sectPr w:rsidR="00627581" w:rsidRPr="00627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90"/>
    <w:rsid w:val="0055263A"/>
    <w:rsid w:val="006044FA"/>
    <w:rsid w:val="00627581"/>
    <w:rsid w:val="00887257"/>
    <w:rsid w:val="00907B90"/>
    <w:rsid w:val="00EF29A5"/>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D8BB"/>
  <w15:chartTrackingRefBased/>
  <w15:docId w15:val="{BD8713F7-86B0-4C14-ACFB-BF5B64FD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B90"/>
    <w:rPr>
      <w:rFonts w:ascii="Times New Roman" w:hAnsi="Times New Roman"/>
      <w:kern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27581"/>
    <w:pPr>
      <w:spacing w:after="0" w:line="240" w:lineRule="auto"/>
    </w:pPr>
    <w:rPr>
      <w:rFonts w:ascii="Times New Roman" w:hAnsi="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1185</Words>
  <Characters>6759</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5</cp:revision>
  <dcterms:created xsi:type="dcterms:W3CDTF">2024-02-04T01:57:00Z</dcterms:created>
  <dcterms:modified xsi:type="dcterms:W3CDTF">2024-03-25T18:59:00Z</dcterms:modified>
</cp:coreProperties>
</file>