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5A3B" w14:textId="77777777" w:rsidR="00B8533E" w:rsidRPr="00491737" w:rsidRDefault="00B8533E" w:rsidP="00B8533E">
      <w:pPr>
        <w:widowControl w:val="0"/>
        <w:autoSpaceDE w:val="0"/>
        <w:autoSpaceDN w:val="0"/>
        <w:spacing w:after="0" w:line="240" w:lineRule="auto"/>
        <w:jc w:val="center"/>
        <w:rPr>
          <w:rFonts w:eastAsia="Times New Roman" w:cs="Times New Roman"/>
          <w:b/>
          <w:bCs/>
          <w:kern w:val="0"/>
          <w:sz w:val="24"/>
          <w:szCs w:val="24"/>
        </w:rPr>
      </w:pPr>
      <w:r w:rsidRPr="00491737">
        <w:rPr>
          <w:rFonts w:eastAsia="Times New Roman" w:cs="Times New Roman"/>
          <w:b/>
          <w:bCs/>
          <w:kern w:val="0"/>
          <w:sz w:val="24"/>
          <w:szCs w:val="24"/>
        </w:rPr>
        <w:t>17.31 Copyright—Affirmative Defense—Limitation on Liability for Information Location Tools (17 U.S.C. § 512(d))</w:t>
      </w:r>
    </w:p>
    <w:p w14:paraId="01D25D48" w14:textId="77777777" w:rsidR="00B8533E" w:rsidRPr="00491737" w:rsidRDefault="00B8533E" w:rsidP="00B8533E">
      <w:pPr>
        <w:widowControl w:val="0"/>
        <w:autoSpaceDE w:val="0"/>
        <w:autoSpaceDN w:val="0"/>
        <w:spacing w:after="0" w:line="240" w:lineRule="auto"/>
        <w:rPr>
          <w:rFonts w:eastAsia="Times New Roman" w:cs="Times New Roman"/>
          <w:kern w:val="0"/>
          <w:sz w:val="24"/>
          <w:szCs w:val="24"/>
        </w:rPr>
      </w:pPr>
    </w:p>
    <w:p w14:paraId="7E515072" w14:textId="77777777" w:rsidR="00B8533E" w:rsidRPr="00491737" w:rsidRDefault="00B8533E" w:rsidP="00B8533E">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The defendant contends that the defendant is a service provider and therefore not liable for copyright infringement because the infringement occurred in the context of the defendant’s provision of information location tools, such as a directory, index, reference, pointer, or hypertext link, to refer or link users to infringing material or activity. The defendant has the burden of proving this defense by a preponderance of the evidence.</w:t>
      </w:r>
    </w:p>
    <w:p w14:paraId="10881596" w14:textId="77777777" w:rsidR="00B8533E" w:rsidRPr="00491737" w:rsidRDefault="00B8533E" w:rsidP="00B8533E">
      <w:pPr>
        <w:widowControl w:val="0"/>
        <w:autoSpaceDE w:val="0"/>
        <w:autoSpaceDN w:val="0"/>
        <w:spacing w:after="0" w:line="240" w:lineRule="auto"/>
        <w:ind w:firstLine="720"/>
        <w:rPr>
          <w:rFonts w:eastAsia="Times New Roman" w:cs="Times New Roman"/>
          <w:kern w:val="0"/>
          <w:sz w:val="24"/>
          <w:szCs w:val="24"/>
        </w:rPr>
      </w:pPr>
    </w:p>
    <w:p w14:paraId="4FB0E2C0" w14:textId="77777777" w:rsidR="00B8533E" w:rsidRPr="00491737" w:rsidRDefault="00B8533E" w:rsidP="00B8533E">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The defendant is eligible to use this defense if the defendant:</w:t>
      </w:r>
    </w:p>
    <w:p w14:paraId="4FF7AF9F" w14:textId="77777777" w:rsidR="00B8533E" w:rsidRPr="00491737" w:rsidRDefault="00B8533E" w:rsidP="00D24045">
      <w:pPr>
        <w:widowControl w:val="0"/>
        <w:autoSpaceDE w:val="0"/>
        <w:autoSpaceDN w:val="0"/>
        <w:spacing w:after="0" w:line="240" w:lineRule="auto"/>
        <w:ind w:left="720"/>
        <w:rPr>
          <w:rFonts w:eastAsia="Times New Roman" w:cs="Times New Roman"/>
          <w:kern w:val="0"/>
          <w:sz w:val="24"/>
          <w:szCs w:val="24"/>
        </w:rPr>
      </w:pPr>
    </w:p>
    <w:p w14:paraId="6C1958BA" w14:textId="68C5EE14"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 xml:space="preserve">First, is a service provider of network communication services, online services, or network </w:t>
      </w:r>
      <w:proofErr w:type="gramStart"/>
      <w:r w:rsidRPr="00491737">
        <w:rPr>
          <w:rFonts w:cs="Times New Roman"/>
          <w:kern w:val="0"/>
          <w:sz w:val="24"/>
          <w:szCs w:val="24"/>
        </w:rPr>
        <w:t>access;</w:t>
      </w:r>
      <w:proofErr w:type="gramEnd"/>
    </w:p>
    <w:p w14:paraId="236DBBFA"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43D12895" w14:textId="0C4B51F5"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 xml:space="preserve">Second, adopted, reasonably implemented, and informed users of a policy to terminate users who are repeat copyright </w:t>
      </w:r>
      <w:proofErr w:type="gramStart"/>
      <w:r w:rsidRPr="00491737">
        <w:rPr>
          <w:rFonts w:cs="Times New Roman"/>
          <w:kern w:val="0"/>
          <w:sz w:val="24"/>
          <w:szCs w:val="24"/>
        </w:rPr>
        <w:t>infringers;</w:t>
      </w:r>
      <w:proofErr w:type="gramEnd"/>
    </w:p>
    <w:p w14:paraId="4A0EAFE6"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307EE73E" w14:textId="4093CB91"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 xml:space="preserve">Third, accommodated and did not interfere with standard technical measures used to identify or protect copyrighted </w:t>
      </w:r>
      <w:proofErr w:type="gramStart"/>
      <w:r w:rsidRPr="00491737">
        <w:rPr>
          <w:rFonts w:cs="Times New Roman"/>
          <w:kern w:val="0"/>
          <w:sz w:val="24"/>
          <w:szCs w:val="24"/>
        </w:rPr>
        <w:t>works;</w:t>
      </w:r>
      <w:proofErr w:type="gramEnd"/>
    </w:p>
    <w:p w14:paraId="0F7A0374"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56E32905" w14:textId="00F54FEC"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Fourth, designated an agent to receive notifications of claimed infringement, and made the agent’s name, phone number, and email address available on its website and to the Copyright Office; and</w:t>
      </w:r>
    </w:p>
    <w:p w14:paraId="63A98147"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78D1602C" w14:textId="5E07C6D5"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Fifth, is facing liability for copyright infringement for providing information location tools or services.</w:t>
      </w:r>
    </w:p>
    <w:p w14:paraId="136380F5" w14:textId="77777777" w:rsidR="00B8533E" w:rsidRPr="00491737" w:rsidRDefault="00B8533E" w:rsidP="00D24045">
      <w:pPr>
        <w:widowControl w:val="0"/>
        <w:autoSpaceDE w:val="0"/>
        <w:autoSpaceDN w:val="0"/>
        <w:adjustRightInd w:val="0"/>
        <w:spacing w:after="0" w:line="240" w:lineRule="auto"/>
        <w:ind w:left="720" w:right="720"/>
        <w:rPr>
          <w:rFonts w:cs="Times New Roman"/>
          <w:kern w:val="0"/>
          <w:sz w:val="24"/>
          <w:szCs w:val="24"/>
        </w:rPr>
      </w:pPr>
    </w:p>
    <w:p w14:paraId="6B56EBFA" w14:textId="77777777" w:rsidR="00B8533E" w:rsidRPr="00491737" w:rsidRDefault="00B8533E" w:rsidP="00D24045">
      <w:pPr>
        <w:widowControl w:val="0"/>
        <w:autoSpaceDE w:val="0"/>
        <w:autoSpaceDN w:val="0"/>
        <w:adjustRightInd w:val="0"/>
        <w:spacing w:after="0" w:line="240" w:lineRule="auto"/>
        <w:ind w:left="720"/>
        <w:rPr>
          <w:rFonts w:cs="Times New Roman"/>
          <w:kern w:val="0"/>
          <w:sz w:val="24"/>
          <w:szCs w:val="24"/>
        </w:rPr>
      </w:pPr>
      <w:r w:rsidRPr="00491737">
        <w:rPr>
          <w:rFonts w:cs="Times New Roman"/>
          <w:kern w:val="0"/>
          <w:sz w:val="24"/>
          <w:szCs w:val="24"/>
        </w:rPr>
        <w:t>The defense applies if the defendant:</w:t>
      </w:r>
    </w:p>
    <w:p w14:paraId="00A7BFC6" w14:textId="77777777" w:rsidR="00B8533E" w:rsidRPr="00491737" w:rsidRDefault="00B8533E" w:rsidP="00D24045">
      <w:pPr>
        <w:widowControl w:val="0"/>
        <w:autoSpaceDE w:val="0"/>
        <w:autoSpaceDN w:val="0"/>
        <w:adjustRightInd w:val="0"/>
        <w:spacing w:after="0" w:line="240" w:lineRule="auto"/>
        <w:ind w:left="720"/>
        <w:rPr>
          <w:rFonts w:cs="Times New Roman"/>
          <w:kern w:val="0"/>
          <w:sz w:val="24"/>
          <w:szCs w:val="24"/>
        </w:rPr>
      </w:pPr>
    </w:p>
    <w:p w14:paraId="3E74BC69" w14:textId="6B63B8C3"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 xml:space="preserve">First, lacked actual knowledge that the material or activity was </w:t>
      </w:r>
      <w:proofErr w:type="gramStart"/>
      <w:r w:rsidRPr="00491737">
        <w:rPr>
          <w:rFonts w:cs="Times New Roman"/>
          <w:kern w:val="0"/>
          <w:sz w:val="24"/>
          <w:szCs w:val="24"/>
        </w:rPr>
        <w:t>infringing;</w:t>
      </w:r>
      <w:proofErr w:type="gramEnd"/>
    </w:p>
    <w:p w14:paraId="1F6CEBCD"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309EECBE" w14:textId="6BB3FEE8"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 xml:space="preserve">Second, was either (a) not aware of facts or circumstances from which specific infringing activity was apparent, or (b) upon obtaining knowledge or awareness or upon receiving a valid notification of claimed infringement, acted expeditiously to </w:t>
      </w:r>
      <w:proofErr w:type="gramStart"/>
      <w:r w:rsidRPr="00491737">
        <w:rPr>
          <w:rFonts w:cs="Times New Roman"/>
          <w:kern w:val="0"/>
          <w:sz w:val="24"/>
          <w:szCs w:val="24"/>
        </w:rPr>
        <w:t>remove</w:t>
      </w:r>
      <w:proofErr w:type="gramEnd"/>
      <w:r w:rsidRPr="00491737">
        <w:rPr>
          <w:rFonts w:cs="Times New Roman"/>
          <w:kern w:val="0"/>
          <w:sz w:val="24"/>
          <w:szCs w:val="24"/>
        </w:rPr>
        <w:t xml:space="preserve"> or disable access to the material; and</w:t>
      </w:r>
    </w:p>
    <w:p w14:paraId="5BED039F" w14:textId="77777777"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p>
    <w:p w14:paraId="2EB0D95B" w14:textId="73470409" w:rsidR="00B8533E" w:rsidRPr="00491737" w:rsidRDefault="00B8533E" w:rsidP="00D24045">
      <w:pPr>
        <w:widowControl w:val="0"/>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Third, while having the right and ability to control the infringing activity, did not receive a financial benefit directly attributable to the infringing activity.</w:t>
      </w:r>
    </w:p>
    <w:p w14:paraId="518F55CB" w14:textId="77777777" w:rsidR="00B8533E" w:rsidRPr="00491737" w:rsidRDefault="00B8533E" w:rsidP="00B8533E">
      <w:pPr>
        <w:widowControl w:val="0"/>
        <w:autoSpaceDE w:val="0"/>
        <w:autoSpaceDN w:val="0"/>
        <w:adjustRightInd w:val="0"/>
        <w:spacing w:after="0" w:line="240" w:lineRule="auto"/>
        <w:ind w:firstLine="720"/>
        <w:rPr>
          <w:rFonts w:cs="Times New Roman"/>
          <w:kern w:val="0"/>
          <w:sz w:val="24"/>
          <w:szCs w:val="24"/>
        </w:rPr>
      </w:pPr>
    </w:p>
    <w:p w14:paraId="2F7ABF31" w14:textId="5D9BA858" w:rsidR="006E7114" w:rsidRPr="00491737" w:rsidRDefault="00B8533E" w:rsidP="00B8533E">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If you find that the defendant has satisfied these requirements, your verdict should be for the defendant. If, on the other hand, you find that the defendant has failed to prove any of these elements, the defendant is not entitled to prevail on this affirmative defense but may assert other defenses.</w:t>
      </w:r>
    </w:p>
    <w:p w14:paraId="2DBA2AC7" w14:textId="77777777" w:rsidR="00B8533E" w:rsidRPr="00491737" w:rsidRDefault="00B8533E" w:rsidP="00D24045">
      <w:pPr>
        <w:widowControl w:val="0"/>
        <w:autoSpaceDE w:val="0"/>
        <w:autoSpaceDN w:val="0"/>
        <w:adjustRightInd w:val="0"/>
        <w:spacing w:after="0" w:line="240" w:lineRule="auto"/>
        <w:ind w:firstLine="720"/>
        <w:rPr>
          <w:rFonts w:cs="Times New Roman"/>
          <w:kern w:val="0"/>
          <w:sz w:val="24"/>
          <w:szCs w:val="24"/>
        </w:rPr>
      </w:pPr>
    </w:p>
    <w:p w14:paraId="5A07CFA3" w14:textId="77777777" w:rsidR="00B8533E" w:rsidRPr="00491737" w:rsidRDefault="00B8533E" w:rsidP="00B8533E">
      <w:pPr>
        <w:widowControl w:val="0"/>
        <w:autoSpaceDE w:val="0"/>
        <w:autoSpaceDN w:val="0"/>
        <w:adjustRightInd w:val="0"/>
        <w:spacing w:after="0" w:line="240" w:lineRule="auto"/>
        <w:jc w:val="center"/>
        <w:rPr>
          <w:rFonts w:cs="Times New Roman"/>
          <w:kern w:val="0"/>
          <w:sz w:val="24"/>
          <w:szCs w:val="24"/>
        </w:rPr>
      </w:pPr>
      <w:r w:rsidRPr="00491737">
        <w:rPr>
          <w:rFonts w:cs="Times New Roman"/>
          <w:b/>
          <w:bCs/>
          <w:kern w:val="0"/>
          <w:sz w:val="24"/>
          <w:szCs w:val="24"/>
        </w:rPr>
        <w:lastRenderedPageBreak/>
        <w:t>Comment</w:t>
      </w:r>
    </w:p>
    <w:p w14:paraId="78B58BA9" w14:textId="77777777" w:rsidR="00B8533E" w:rsidRPr="00491737" w:rsidRDefault="00B8533E" w:rsidP="00B8533E">
      <w:pPr>
        <w:widowControl w:val="0"/>
        <w:autoSpaceDE w:val="0"/>
        <w:autoSpaceDN w:val="0"/>
        <w:adjustRightInd w:val="0"/>
        <w:spacing w:after="0" w:line="240" w:lineRule="auto"/>
        <w:rPr>
          <w:rFonts w:cs="Times New Roman"/>
          <w:kern w:val="0"/>
          <w:sz w:val="24"/>
          <w:szCs w:val="24"/>
        </w:rPr>
      </w:pPr>
    </w:p>
    <w:p w14:paraId="67BBBE5D" w14:textId="3796224B" w:rsidR="00B8533E" w:rsidRPr="00491737" w:rsidRDefault="00B8533E" w:rsidP="00B8533E">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This instruction is based on 17 U.S.C. § 512(d), as well as § 512(c)(2)-(3), (</w:t>
      </w:r>
      <w:proofErr w:type="spellStart"/>
      <w:r w:rsidRPr="00491737">
        <w:rPr>
          <w:rFonts w:cs="Times New Roman"/>
          <w:kern w:val="0"/>
          <w:sz w:val="24"/>
          <w:szCs w:val="24"/>
        </w:rPr>
        <w:t>i</w:t>
      </w:r>
      <w:proofErr w:type="spellEnd"/>
      <w:r w:rsidRPr="00491737">
        <w:rPr>
          <w:rFonts w:cs="Times New Roman"/>
          <w:kern w:val="0"/>
          <w:sz w:val="24"/>
          <w:szCs w:val="24"/>
        </w:rPr>
        <w:t>), and (k).</w:t>
      </w:r>
    </w:p>
    <w:p w14:paraId="2882EC40" w14:textId="77777777" w:rsidR="00B8533E" w:rsidRPr="00491737" w:rsidRDefault="00B8533E" w:rsidP="00B8533E">
      <w:pPr>
        <w:widowControl w:val="0"/>
        <w:autoSpaceDE w:val="0"/>
        <w:autoSpaceDN w:val="0"/>
        <w:adjustRightInd w:val="0"/>
        <w:spacing w:after="0" w:line="240" w:lineRule="auto"/>
        <w:ind w:firstLine="720"/>
        <w:rPr>
          <w:rFonts w:cs="Times New Roman"/>
          <w:kern w:val="0"/>
          <w:sz w:val="24"/>
          <w:szCs w:val="24"/>
        </w:rPr>
      </w:pPr>
    </w:p>
    <w:p w14:paraId="41AE0D65" w14:textId="15AE676C" w:rsidR="00B8533E" w:rsidRPr="00491737" w:rsidRDefault="00B8533E" w:rsidP="00B8533E">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 xml:space="preserve">For a definition of a service provider of network communication services, </w:t>
      </w:r>
      <w:r w:rsidRPr="00491737">
        <w:rPr>
          <w:rFonts w:cs="Times New Roman"/>
          <w:i/>
          <w:iCs/>
          <w:kern w:val="0"/>
          <w:sz w:val="24"/>
          <w:szCs w:val="24"/>
        </w:rPr>
        <w:t>see</w:t>
      </w:r>
      <w:r w:rsidRPr="00491737">
        <w:rPr>
          <w:rFonts w:cs="Times New Roman"/>
          <w:kern w:val="0"/>
          <w:sz w:val="24"/>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kern w:val="0"/>
          <w:sz w:val="24"/>
          <w:szCs w:val="24"/>
        </w:rPr>
        <w:t>see</w:t>
      </w:r>
      <w:r w:rsidRPr="00491737">
        <w:rPr>
          <w:rFonts w:cs="Times New Roman"/>
          <w:kern w:val="0"/>
          <w:sz w:val="24"/>
          <w:szCs w:val="24"/>
        </w:rPr>
        <w:t xml:space="preserve"> Instruction 17.27 (Copyright—Affirmative Defense—Limitation on Liability for Transitory Digital Network Communications). For an instruction on the requirements for a valid notice of claimed infringement, </w:t>
      </w:r>
      <w:r w:rsidRPr="00491737">
        <w:rPr>
          <w:rFonts w:cs="Times New Roman"/>
          <w:i/>
          <w:iCs/>
          <w:kern w:val="0"/>
          <w:sz w:val="24"/>
          <w:szCs w:val="24"/>
        </w:rPr>
        <w:t>see</w:t>
      </w:r>
      <w:r w:rsidRPr="00491737">
        <w:rPr>
          <w:rFonts w:cs="Times New Roman"/>
          <w:kern w:val="0"/>
          <w:sz w:val="24"/>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491737">
        <w:rPr>
          <w:rFonts w:cs="Times New Roman"/>
          <w:i/>
          <w:iCs/>
          <w:kern w:val="0"/>
          <w:sz w:val="24"/>
          <w:szCs w:val="24"/>
        </w:rPr>
        <w:t>see</w:t>
      </w:r>
      <w:r w:rsidRPr="00491737">
        <w:rPr>
          <w:rFonts w:cs="Times New Roman"/>
          <w:kern w:val="0"/>
          <w:sz w:val="24"/>
          <w:szCs w:val="24"/>
        </w:rPr>
        <w:t xml:space="preserve"> Instruction 17.30 (Copyright—Affirmative Defense—Limitation on Liability for Information Residing on Systems or Networks at Direction of Users).</w:t>
      </w:r>
    </w:p>
    <w:p w14:paraId="4D44B3BB" w14:textId="77777777" w:rsidR="00B8533E" w:rsidRPr="00491737" w:rsidRDefault="00B8533E" w:rsidP="00B8533E">
      <w:pPr>
        <w:widowControl w:val="0"/>
        <w:autoSpaceDE w:val="0"/>
        <w:autoSpaceDN w:val="0"/>
        <w:adjustRightInd w:val="0"/>
        <w:spacing w:after="0" w:line="240" w:lineRule="auto"/>
        <w:ind w:firstLine="720"/>
        <w:rPr>
          <w:rFonts w:cs="Times New Roman"/>
          <w:kern w:val="0"/>
          <w:sz w:val="24"/>
          <w:szCs w:val="24"/>
        </w:rPr>
      </w:pPr>
    </w:p>
    <w:p w14:paraId="3A163A13" w14:textId="1E9C36E0" w:rsidR="00FE7F82" w:rsidRDefault="00B8533E" w:rsidP="00B8533E">
      <w:pPr>
        <w:rPr>
          <w:rFonts w:cs="Times New Roman"/>
          <w:kern w:val="0"/>
          <w:sz w:val="24"/>
          <w:szCs w:val="24"/>
        </w:rPr>
      </w:pPr>
      <w:r w:rsidRPr="00491737">
        <w:rPr>
          <w:rFonts w:cs="Times New Roman"/>
          <w:b/>
          <w:bCs/>
          <w:kern w:val="0"/>
          <w:sz w:val="24"/>
          <w:szCs w:val="24"/>
        </w:rPr>
        <w:t>Information Location Tools:</w:t>
      </w:r>
      <w:r w:rsidRPr="00491737">
        <w:rPr>
          <w:rFonts w:cs="Times New Roman"/>
          <w:kern w:val="0"/>
          <w:sz w:val="24"/>
          <w:szCs w:val="24"/>
        </w:rPr>
        <w:t xml:space="preserve"> This defense applies only to “infringement of copyright </w:t>
      </w:r>
      <w:r w:rsidRPr="00491737">
        <w:rPr>
          <w:rFonts w:cs="Times New Roman"/>
          <w:i/>
          <w:iCs/>
          <w:kern w:val="0"/>
          <w:sz w:val="24"/>
          <w:szCs w:val="24"/>
        </w:rPr>
        <w:t>by reason of</w:t>
      </w:r>
      <w:r w:rsidRPr="00491737">
        <w:rPr>
          <w:rFonts w:cs="Times New Roman"/>
          <w:kern w:val="0"/>
          <w:sz w:val="24"/>
          <w:szCs w:val="24"/>
        </w:rPr>
        <w:t xml:space="preserve"> the provider referring or linking users to an online location containing infringing material or infringing activity.” </w:t>
      </w:r>
      <w:r w:rsidRPr="00491737">
        <w:rPr>
          <w:rFonts w:cs="Times New Roman"/>
          <w:i/>
          <w:iCs/>
          <w:kern w:val="0"/>
          <w:sz w:val="24"/>
          <w:szCs w:val="24"/>
        </w:rPr>
        <w:t xml:space="preserve">Perfect 10, Inc. v. </w:t>
      </w:r>
      <w:proofErr w:type="spellStart"/>
      <w:r w:rsidRPr="00491737">
        <w:rPr>
          <w:rFonts w:cs="Times New Roman"/>
          <w:i/>
          <w:iCs/>
          <w:kern w:val="0"/>
          <w:sz w:val="24"/>
          <w:szCs w:val="24"/>
        </w:rPr>
        <w:t>CCBill</w:t>
      </w:r>
      <w:proofErr w:type="spellEnd"/>
      <w:r w:rsidRPr="00491737">
        <w:rPr>
          <w:rFonts w:cs="Times New Roman"/>
          <w:i/>
          <w:iCs/>
          <w:kern w:val="0"/>
          <w:sz w:val="24"/>
          <w:szCs w:val="24"/>
        </w:rPr>
        <w:t xml:space="preserve"> LLC</w:t>
      </w:r>
      <w:r w:rsidRPr="00491737">
        <w:rPr>
          <w:rFonts w:cs="Times New Roman"/>
          <w:kern w:val="0"/>
          <w:sz w:val="24"/>
          <w:szCs w:val="24"/>
        </w:rPr>
        <w:t>, 488 F.3d 1102, 1116-17 (9th Cir. 2007) (explaining that § 512(d) did not create “blanket immunity” when a defendant provided users with a hyperlink to infringing material but also engaged in other infringing activity).</w:t>
      </w:r>
    </w:p>
    <w:p w14:paraId="29D14F65" w14:textId="351B272B" w:rsidR="006E7114" w:rsidRPr="006E7114" w:rsidRDefault="006E7114" w:rsidP="006E7114">
      <w:pPr>
        <w:jc w:val="right"/>
        <w:rPr>
          <w:i/>
          <w:iCs/>
        </w:rPr>
      </w:pPr>
      <w:r w:rsidRPr="006E7114">
        <w:rPr>
          <w:rFonts w:cs="Times New Roman"/>
          <w:i/>
          <w:iCs/>
          <w:kern w:val="0"/>
          <w:sz w:val="24"/>
          <w:szCs w:val="24"/>
        </w:rPr>
        <w:t>Revised Dec. 2023</w:t>
      </w:r>
    </w:p>
    <w:sectPr w:rsidR="006E7114" w:rsidRPr="006E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E"/>
    <w:rsid w:val="006E7114"/>
    <w:rsid w:val="00887257"/>
    <w:rsid w:val="00B8533E"/>
    <w:rsid w:val="00D24045"/>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BBDA"/>
  <w15:chartTrackingRefBased/>
  <w15:docId w15:val="{065BE62A-0565-45F1-B55A-6BFBC50E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3E"/>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7114"/>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2024-02-04T01:58:00Z</dcterms:created>
  <dcterms:modified xsi:type="dcterms:W3CDTF">2024-03-25T19:00:00Z</dcterms:modified>
</cp:coreProperties>
</file>