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5A3B" w14:textId="77777777" w:rsidR="00B8533E" w:rsidRPr="00491737" w:rsidRDefault="00B8533E" w:rsidP="00B8533E">
      <w:pPr>
        <w:widowControl w:val="0"/>
        <w:autoSpaceDE w:val="0"/>
        <w:autoSpaceDN w:val="0"/>
        <w:spacing w:after="0" w:line="240" w:lineRule="auto"/>
        <w:jc w:val="center"/>
        <w:rPr>
          <w:rFonts w:eastAsia="Times New Roman" w:cs="Times New Roman"/>
          <w:b/>
          <w:bCs/>
          <w:kern w:val="0"/>
          <w:sz w:val="24"/>
          <w:szCs w:val="24"/>
        </w:rPr>
      </w:pPr>
      <w:r w:rsidRPr="00491737">
        <w:rPr>
          <w:rFonts w:eastAsia="Times New Roman" w:cs="Times New Roman"/>
          <w:b/>
          <w:bCs/>
          <w:kern w:val="0"/>
          <w:sz w:val="24"/>
          <w:szCs w:val="24"/>
        </w:rPr>
        <w:t>17.31 Copyright—Affirmative Defense—Limitation on Liability for Information Location Tools (17 U.S.C. § 512(d))</w:t>
      </w:r>
    </w:p>
    <w:p w14:paraId="01D25D48" w14:textId="77777777" w:rsidR="00B8533E" w:rsidRPr="00491737" w:rsidRDefault="00B8533E" w:rsidP="00B8533E">
      <w:pPr>
        <w:widowControl w:val="0"/>
        <w:autoSpaceDE w:val="0"/>
        <w:autoSpaceDN w:val="0"/>
        <w:spacing w:after="0" w:line="240" w:lineRule="auto"/>
        <w:rPr>
          <w:rFonts w:eastAsia="Times New Roman" w:cs="Times New Roman"/>
          <w:kern w:val="0"/>
          <w:sz w:val="24"/>
          <w:szCs w:val="24"/>
        </w:rPr>
      </w:pPr>
    </w:p>
    <w:p w14:paraId="7E515072" w14:textId="77777777" w:rsidR="00B8533E" w:rsidRPr="00491737" w:rsidRDefault="00B8533E" w:rsidP="00B8533E">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kern w:val="0"/>
          <w:sz w:val="24"/>
          <w:szCs w:val="24"/>
        </w:rPr>
        <w:t>The defendant contends that the defendant is a service provider and therefore not liable for copyright infringement because the infringement occurred in the context of the defendant’s provision of information location tools, such as a directory, index, reference, pointer, or hypertext link, to refer or link users to infringing material or activity. The defendant has the burden of proving this defense by a preponderance of the evidence.</w:t>
      </w:r>
    </w:p>
    <w:p w14:paraId="10881596" w14:textId="77777777" w:rsidR="00B8533E" w:rsidRPr="00491737" w:rsidRDefault="00B8533E" w:rsidP="00B8533E">
      <w:pPr>
        <w:widowControl w:val="0"/>
        <w:autoSpaceDE w:val="0"/>
        <w:autoSpaceDN w:val="0"/>
        <w:spacing w:after="0" w:line="240" w:lineRule="auto"/>
        <w:ind w:firstLine="720"/>
        <w:rPr>
          <w:rFonts w:eastAsia="Times New Roman" w:cs="Times New Roman"/>
          <w:kern w:val="0"/>
          <w:sz w:val="24"/>
          <w:szCs w:val="24"/>
        </w:rPr>
      </w:pPr>
    </w:p>
    <w:p w14:paraId="4FB0E2C0" w14:textId="77777777" w:rsidR="00B8533E" w:rsidRPr="00491737" w:rsidRDefault="00B8533E" w:rsidP="00B8533E">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kern w:val="0"/>
          <w:sz w:val="24"/>
          <w:szCs w:val="24"/>
        </w:rPr>
        <w:t>The defendant is eligible to use this defense if the defendant:</w:t>
      </w:r>
    </w:p>
    <w:p w14:paraId="4FF7AF9F" w14:textId="77777777" w:rsidR="00B8533E" w:rsidRPr="00491737" w:rsidRDefault="00B8533E" w:rsidP="00D24045">
      <w:pPr>
        <w:widowControl w:val="0"/>
        <w:autoSpaceDE w:val="0"/>
        <w:autoSpaceDN w:val="0"/>
        <w:spacing w:after="0" w:line="240" w:lineRule="auto"/>
        <w:ind w:left="720"/>
        <w:rPr>
          <w:rFonts w:eastAsia="Times New Roman" w:cs="Times New Roman"/>
          <w:kern w:val="0"/>
          <w:sz w:val="24"/>
          <w:szCs w:val="24"/>
        </w:rPr>
      </w:pPr>
    </w:p>
    <w:p w14:paraId="6C1958BA" w14:textId="68C5EE14"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r w:rsidRPr="00491737">
        <w:rPr>
          <w:rFonts w:cs="Times New Roman"/>
          <w:kern w:val="0"/>
          <w:sz w:val="24"/>
          <w:szCs w:val="24"/>
        </w:rPr>
        <w:t xml:space="preserve">First, is a service provider of network communication services, online services, or network </w:t>
      </w:r>
      <w:proofErr w:type="gramStart"/>
      <w:r w:rsidRPr="00491737">
        <w:rPr>
          <w:rFonts w:cs="Times New Roman"/>
          <w:kern w:val="0"/>
          <w:sz w:val="24"/>
          <w:szCs w:val="24"/>
        </w:rPr>
        <w:t>access;</w:t>
      </w:r>
      <w:proofErr w:type="gramEnd"/>
    </w:p>
    <w:p w14:paraId="236DBBFA" w14:textId="77777777"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p>
    <w:p w14:paraId="43D12895" w14:textId="0C4B51F5"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r w:rsidRPr="00491737">
        <w:rPr>
          <w:rFonts w:cs="Times New Roman"/>
          <w:kern w:val="0"/>
          <w:sz w:val="24"/>
          <w:szCs w:val="24"/>
        </w:rPr>
        <w:t xml:space="preserve">Second, adopted, reasonably implemented, and informed users of a policy to terminate users who are repeat copyright </w:t>
      </w:r>
      <w:proofErr w:type="gramStart"/>
      <w:r w:rsidRPr="00491737">
        <w:rPr>
          <w:rFonts w:cs="Times New Roman"/>
          <w:kern w:val="0"/>
          <w:sz w:val="24"/>
          <w:szCs w:val="24"/>
        </w:rPr>
        <w:t>infringers;</w:t>
      </w:r>
      <w:proofErr w:type="gramEnd"/>
    </w:p>
    <w:p w14:paraId="4A0EAFE6" w14:textId="77777777"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p>
    <w:p w14:paraId="307EE73E" w14:textId="4093CB91"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r w:rsidRPr="00491737">
        <w:rPr>
          <w:rFonts w:cs="Times New Roman"/>
          <w:kern w:val="0"/>
          <w:sz w:val="24"/>
          <w:szCs w:val="24"/>
        </w:rPr>
        <w:t xml:space="preserve">Third, accommodated and did not interfere with standard technical measures used to identify or protect copyrighted </w:t>
      </w:r>
      <w:proofErr w:type="gramStart"/>
      <w:r w:rsidRPr="00491737">
        <w:rPr>
          <w:rFonts w:cs="Times New Roman"/>
          <w:kern w:val="0"/>
          <w:sz w:val="24"/>
          <w:szCs w:val="24"/>
        </w:rPr>
        <w:t>works;</w:t>
      </w:r>
      <w:proofErr w:type="gramEnd"/>
    </w:p>
    <w:p w14:paraId="0F7A0374" w14:textId="77777777"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p>
    <w:p w14:paraId="56E32905" w14:textId="00F54FEC"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r w:rsidRPr="00491737">
        <w:rPr>
          <w:rFonts w:cs="Times New Roman"/>
          <w:kern w:val="0"/>
          <w:sz w:val="24"/>
          <w:szCs w:val="24"/>
        </w:rPr>
        <w:t>Fourth, designated an agent to receive notifications of claimed infringement, and made the agent’s name, phone number, and email address available on its website and to the Copyright Office; and</w:t>
      </w:r>
    </w:p>
    <w:p w14:paraId="63A98147" w14:textId="77777777"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p>
    <w:p w14:paraId="78D1602C" w14:textId="5E07C6D5"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r w:rsidRPr="00491737">
        <w:rPr>
          <w:rFonts w:cs="Times New Roman"/>
          <w:kern w:val="0"/>
          <w:sz w:val="24"/>
          <w:szCs w:val="24"/>
        </w:rPr>
        <w:t>Fifth, is facing liability for copyright infringement for providing information location tools or services.</w:t>
      </w:r>
    </w:p>
    <w:p w14:paraId="136380F5" w14:textId="77777777" w:rsidR="00B8533E" w:rsidRPr="00491737" w:rsidRDefault="00B8533E" w:rsidP="00D24045">
      <w:pPr>
        <w:widowControl w:val="0"/>
        <w:autoSpaceDE w:val="0"/>
        <w:autoSpaceDN w:val="0"/>
        <w:adjustRightInd w:val="0"/>
        <w:spacing w:after="0" w:line="240" w:lineRule="auto"/>
        <w:ind w:left="720" w:right="720"/>
        <w:rPr>
          <w:rFonts w:cs="Times New Roman"/>
          <w:kern w:val="0"/>
          <w:sz w:val="24"/>
          <w:szCs w:val="24"/>
        </w:rPr>
      </w:pPr>
    </w:p>
    <w:p w14:paraId="6B56EBFA" w14:textId="77777777" w:rsidR="00B8533E" w:rsidRPr="00491737" w:rsidRDefault="00B8533E" w:rsidP="00D24045">
      <w:pPr>
        <w:widowControl w:val="0"/>
        <w:autoSpaceDE w:val="0"/>
        <w:autoSpaceDN w:val="0"/>
        <w:adjustRightInd w:val="0"/>
        <w:spacing w:after="0" w:line="240" w:lineRule="auto"/>
        <w:ind w:left="720"/>
        <w:rPr>
          <w:rFonts w:cs="Times New Roman"/>
          <w:kern w:val="0"/>
          <w:sz w:val="24"/>
          <w:szCs w:val="24"/>
        </w:rPr>
      </w:pPr>
      <w:r w:rsidRPr="00491737">
        <w:rPr>
          <w:rFonts w:cs="Times New Roman"/>
          <w:kern w:val="0"/>
          <w:sz w:val="24"/>
          <w:szCs w:val="24"/>
        </w:rPr>
        <w:t>The defense applies if the defendant:</w:t>
      </w:r>
    </w:p>
    <w:p w14:paraId="00A7BFC6" w14:textId="77777777" w:rsidR="00B8533E" w:rsidRPr="00491737" w:rsidRDefault="00B8533E" w:rsidP="00D24045">
      <w:pPr>
        <w:widowControl w:val="0"/>
        <w:autoSpaceDE w:val="0"/>
        <w:autoSpaceDN w:val="0"/>
        <w:adjustRightInd w:val="0"/>
        <w:spacing w:after="0" w:line="240" w:lineRule="auto"/>
        <w:ind w:left="720"/>
        <w:rPr>
          <w:rFonts w:cs="Times New Roman"/>
          <w:kern w:val="0"/>
          <w:sz w:val="24"/>
          <w:szCs w:val="24"/>
        </w:rPr>
      </w:pPr>
    </w:p>
    <w:p w14:paraId="3E74BC69" w14:textId="6B63B8C3"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r w:rsidRPr="00491737">
        <w:rPr>
          <w:rFonts w:cs="Times New Roman"/>
          <w:kern w:val="0"/>
          <w:sz w:val="24"/>
          <w:szCs w:val="24"/>
        </w:rPr>
        <w:t xml:space="preserve">First, lacked actual knowledge that the material or activity was </w:t>
      </w:r>
      <w:proofErr w:type="gramStart"/>
      <w:r w:rsidRPr="00491737">
        <w:rPr>
          <w:rFonts w:cs="Times New Roman"/>
          <w:kern w:val="0"/>
          <w:sz w:val="24"/>
          <w:szCs w:val="24"/>
        </w:rPr>
        <w:t>infringing;</w:t>
      </w:r>
      <w:proofErr w:type="gramEnd"/>
    </w:p>
    <w:p w14:paraId="1F6CEBCD" w14:textId="77777777"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p>
    <w:p w14:paraId="309EECBE" w14:textId="6BB3FEE8"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r w:rsidRPr="00491737">
        <w:rPr>
          <w:rFonts w:cs="Times New Roman"/>
          <w:kern w:val="0"/>
          <w:sz w:val="24"/>
          <w:szCs w:val="24"/>
        </w:rPr>
        <w:t xml:space="preserve">Second, was either (a) not aware of facts or circumstances from which specific infringing activity was apparent, or (b) upon obtaining knowledge or awareness or upon receiving a valid notification of claimed infringement, acted expeditiously to </w:t>
      </w:r>
      <w:proofErr w:type="gramStart"/>
      <w:r w:rsidRPr="00491737">
        <w:rPr>
          <w:rFonts w:cs="Times New Roman"/>
          <w:kern w:val="0"/>
          <w:sz w:val="24"/>
          <w:szCs w:val="24"/>
        </w:rPr>
        <w:t>remove</w:t>
      </w:r>
      <w:proofErr w:type="gramEnd"/>
      <w:r w:rsidRPr="00491737">
        <w:rPr>
          <w:rFonts w:cs="Times New Roman"/>
          <w:kern w:val="0"/>
          <w:sz w:val="24"/>
          <w:szCs w:val="24"/>
        </w:rPr>
        <w:t xml:space="preserve"> or disable access to the material; and</w:t>
      </w:r>
    </w:p>
    <w:p w14:paraId="5BED039F" w14:textId="77777777"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p>
    <w:p w14:paraId="2EB0D95B" w14:textId="73470409" w:rsidR="00B8533E" w:rsidRPr="00491737" w:rsidRDefault="00B8533E" w:rsidP="00D24045">
      <w:pPr>
        <w:widowControl w:val="0"/>
        <w:autoSpaceDE w:val="0"/>
        <w:autoSpaceDN w:val="0"/>
        <w:adjustRightInd w:val="0"/>
        <w:spacing w:after="0" w:line="240" w:lineRule="auto"/>
        <w:ind w:left="1440" w:right="720"/>
        <w:rPr>
          <w:rFonts w:cs="Times New Roman"/>
          <w:kern w:val="0"/>
          <w:sz w:val="24"/>
          <w:szCs w:val="24"/>
        </w:rPr>
      </w:pPr>
      <w:r w:rsidRPr="00491737">
        <w:rPr>
          <w:rFonts w:cs="Times New Roman"/>
          <w:kern w:val="0"/>
          <w:sz w:val="24"/>
          <w:szCs w:val="24"/>
        </w:rPr>
        <w:t>Third, while having the right and ability to control the infringing activity, did not receive a financial benefit directly attributable to the infringing activity.</w:t>
      </w:r>
    </w:p>
    <w:p w14:paraId="518F55CB" w14:textId="77777777" w:rsidR="00B8533E" w:rsidRPr="00491737" w:rsidRDefault="00B8533E" w:rsidP="00B8533E">
      <w:pPr>
        <w:widowControl w:val="0"/>
        <w:autoSpaceDE w:val="0"/>
        <w:autoSpaceDN w:val="0"/>
        <w:adjustRightInd w:val="0"/>
        <w:spacing w:after="0" w:line="240" w:lineRule="auto"/>
        <w:ind w:firstLine="720"/>
        <w:rPr>
          <w:rFonts w:cs="Times New Roman"/>
          <w:kern w:val="0"/>
          <w:sz w:val="24"/>
          <w:szCs w:val="24"/>
        </w:rPr>
      </w:pPr>
    </w:p>
    <w:p w14:paraId="2F7ABF31" w14:textId="5D9BA858" w:rsidR="006E7114" w:rsidRPr="00491737" w:rsidRDefault="00B8533E" w:rsidP="00B8533E">
      <w:pPr>
        <w:widowControl w:val="0"/>
        <w:autoSpaceDE w:val="0"/>
        <w:autoSpaceDN w:val="0"/>
        <w:adjustRightInd w:val="0"/>
        <w:spacing w:after="0" w:line="240" w:lineRule="auto"/>
        <w:ind w:firstLine="720"/>
        <w:rPr>
          <w:rFonts w:cs="Times New Roman"/>
          <w:kern w:val="0"/>
          <w:sz w:val="24"/>
          <w:szCs w:val="24"/>
        </w:rPr>
      </w:pPr>
      <w:r w:rsidRPr="00491737">
        <w:rPr>
          <w:rFonts w:cs="Times New Roman"/>
          <w:kern w:val="0"/>
          <w:sz w:val="24"/>
          <w:szCs w:val="24"/>
        </w:rPr>
        <w:t>If you find that the defendant has satisfied these requirements, your verdict should be for the defendant. If, on the other hand, you find that the defendant has failed to prove any of these elements, the defendant is not entitled to prevail on this affirmative defense but may assert other defenses.</w:t>
      </w:r>
    </w:p>
    <w:p w14:paraId="2DBA2AC7" w14:textId="77777777" w:rsidR="00B8533E" w:rsidRPr="00491737" w:rsidRDefault="00B8533E" w:rsidP="00D24045">
      <w:pPr>
        <w:widowControl w:val="0"/>
        <w:autoSpaceDE w:val="0"/>
        <w:autoSpaceDN w:val="0"/>
        <w:adjustRightInd w:val="0"/>
        <w:spacing w:after="0" w:line="240" w:lineRule="auto"/>
        <w:ind w:firstLine="720"/>
        <w:rPr>
          <w:rFonts w:cs="Times New Roman"/>
          <w:kern w:val="0"/>
          <w:sz w:val="24"/>
          <w:szCs w:val="24"/>
        </w:rPr>
      </w:pPr>
    </w:p>
    <w:p w14:paraId="5A07CFA3" w14:textId="77777777" w:rsidR="00B8533E" w:rsidRPr="00491737" w:rsidRDefault="00B8533E" w:rsidP="00B8533E">
      <w:pPr>
        <w:widowControl w:val="0"/>
        <w:autoSpaceDE w:val="0"/>
        <w:autoSpaceDN w:val="0"/>
        <w:adjustRightInd w:val="0"/>
        <w:spacing w:after="0" w:line="240" w:lineRule="auto"/>
        <w:jc w:val="center"/>
        <w:rPr>
          <w:rFonts w:cs="Times New Roman"/>
          <w:kern w:val="0"/>
          <w:sz w:val="24"/>
          <w:szCs w:val="24"/>
        </w:rPr>
      </w:pPr>
      <w:r w:rsidRPr="00491737">
        <w:rPr>
          <w:rFonts w:cs="Times New Roman"/>
          <w:b/>
          <w:bCs/>
          <w:kern w:val="0"/>
          <w:sz w:val="24"/>
          <w:szCs w:val="24"/>
        </w:rPr>
        <w:lastRenderedPageBreak/>
        <w:t>Comment</w:t>
      </w:r>
    </w:p>
    <w:p w14:paraId="78B58BA9" w14:textId="77777777" w:rsidR="00B8533E" w:rsidRPr="00491737" w:rsidRDefault="00B8533E" w:rsidP="00B8533E">
      <w:pPr>
        <w:widowControl w:val="0"/>
        <w:autoSpaceDE w:val="0"/>
        <w:autoSpaceDN w:val="0"/>
        <w:adjustRightInd w:val="0"/>
        <w:spacing w:after="0" w:line="240" w:lineRule="auto"/>
        <w:rPr>
          <w:rFonts w:cs="Times New Roman"/>
          <w:kern w:val="0"/>
          <w:sz w:val="24"/>
          <w:szCs w:val="24"/>
        </w:rPr>
      </w:pPr>
    </w:p>
    <w:p w14:paraId="67BBBE5D" w14:textId="3796224B" w:rsidR="00B8533E" w:rsidRPr="00491737" w:rsidRDefault="00B8533E" w:rsidP="00B8533E">
      <w:pPr>
        <w:widowControl w:val="0"/>
        <w:autoSpaceDE w:val="0"/>
        <w:autoSpaceDN w:val="0"/>
        <w:adjustRightInd w:val="0"/>
        <w:spacing w:after="0" w:line="240" w:lineRule="auto"/>
        <w:ind w:firstLine="720"/>
        <w:rPr>
          <w:rFonts w:cs="Times New Roman"/>
          <w:kern w:val="0"/>
          <w:sz w:val="24"/>
          <w:szCs w:val="24"/>
        </w:rPr>
      </w:pPr>
      <w:r w:rsidRPr="00491737">
        <w:rPr>
          <w:rFonts w:cs="Times New Roman"/>
          <w:kern w:val="0"/>
          <w:sz w:val="24"/>
          <w:szCs w:val="24"/>
        </w:rPr>
        <w:t>This instruction is based on 17 U.S.C. § 512(d), as well as § 512(c)(2)-(3), (</w:t>
      </w:r>
      <w:proofErr w:type="spellStart"/>
      <w:r w:rsidRPr="00491737">
        <w:rPr>
          <w:rFonts w:cs="Times New Roman"/>
          <w:kern w:val="0"/>
          <w:sz w:val="24"/>
          <w:szCs w:val="24"/>
        </w:rPr>
        <w:t>i</w:t>
      </w:r>
      <w:proofErr w:type="spellEnd"/>
      <w:r w:rsidRPr="00491737">
        <w:rPr>
          <w:rFonts w:cs="Times New Roman"/>
          <w:kern w:val="0"/>
          <w:sz w:val="24"/>
          <w:szCs w:val="24"/>
        </w:rPr>
        <w:t>), and (k).</w:t>
      </w:r>
    </w:p>
    <w:p w14:paraId="2882EC40" w14:textId="77777777" w:rsidR="00B8533E" w:rsidRPr="00491737" w:rsidRDefault="00B8533E" w:rsidP="00B8533E">
      <w:pPr>
        <w:widowControl w:val="0"/>
        <w:autoSpaceDE w:val="0"/>
        <w:autoSpaceDN w:val="0"/>
        <w:adjustRightInd w:val="0"/>
        <w:spacing w:after="0" w:line="240" w:lineRule="auto"/>
        <w:ind w:firstLine="720"/>
        <w:rPr>
          <w:rFonts w:cs="Times New Roman"/>
          <w:kern w:val="0"/>
          <w:sz w:val="24"/>
          <w:szCs w:val="24"/>
        </w:rPr>
      </w:pPr>
    </w:p>
    <w:p w14:paraId="41AE0D65" w14:textId="15AE676C" w:rsidR="00B8533E" w:rsidRPr="00491737" w:rsidRDefault="00B8533E" w:rsidP="00B8533E">
      <w:pPr>
        <w:widowControl w:val="0"/>
        <w:autoSpaceDE w:val="0"/>
        <w:autoSpaceDN w:val="0"/>
        <w:adjustRightInd w:val="0"/>
        <w:spacing w:after="0" w:line="240" w:lineRule="auto"/>
        <w:ind w:firstLine="720"/>
        <w:rPr>
          <w:rFonts w:cs="Times New Roman"/>
          <w:kern w:val="0"/>
          <w:sz w:val="24"/>
          <w:szCs w:val="24"/>
        </w:rPr>
      </w:pPr>
      <w:r w:rsidRPr="00491737">
        <w:rPr>
          <w:rFonts w:cs="Times New Roman"/>
          <w:kern w:val="0"/>
          <w:sz w:val="24"/>
          <w:szCs w:val="24"/>
        </w:rPr>
        <w:t xml:space="preserve">For a definition of a service provider of network communication services, </w:t>
      </w:r>
      <w:r w:rsidRPr="00491737">
        <w:rPr>
          <w:rFonts w:cs="Times New Roman"/>
          <w:i/>
          <w:iCs/>
          <w:kern w:val="0"/>
          <w:sz w:val="24"/>
          <w:szCs w:val="24"/>
        </w:rPr>
        <w:t>see</w:t>
      </w:r>
      <w:r w:rsidRPr="00491737">
        <w:rPr>
          <w:rFonts w:cs="Times New Roman"/>
          <w:kern w:val="0"/>
          <w:sz w:val="24"/>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kern w:val="0"/>
          <w:sz w:val="24"/>
          <w:szCs w:val="24"/>
        </w:rPr>
        <w:t>see</w:t>
      </w:r>
      <w:r w:rsidRPr="00491737">
        <w:rPr>
          <w:rFonts w:cs="Times New Roman"/>
          <w:kern w:val="0"/>
          <w:sz w:val="24"/>
          <w:szCs w:val="24"/>
        </w:rPr>
        <w:t xml:space="preserve"> Instruction 17.27 (Copyright—Affirmative Defense—Limitation on Liability for Transitory Digital Network Communications). For an instruction on the requirements for a valid notice of claimed infringement, </w:t>
      </w:r>
      <w:r w:rsidRPr="00491737">
        <w:rPr>
          <w:rFonts w:cs="Times New Roman"/>
          <w:i/>
          <w:iCs/>
          <w:kern w:val="0"/>
          <w:sz w:val="24"/>
          <w:szCs w:val="24"/>
        </w:rPr>
        <w:t>see</w:t>
      </w:r>
      <w:r w:rsidRPr="00491737">
        <w:rPr>
          <w:rFonts w:cs="Times New Roman"/>
          <w:kern w:val="0"/>
          <w:sz w:val="24"/>
          <w:szCs w:val="24"/>
        </w:rPr>
        <w:t xml:space="preserve"> Instruction 17.29 (Copyright—Affirmative Defense—Limitation on Liability for System Caching). For commentary on actual knowledge of infringement, awareness of facts or circumstances from which specific infringing activity is apparent, and financial benefit directly attributable to infringing activity, </w:t>
      </w:r>
      <w:r w:rsidRPr="00491737">
        <w:rPr>
          <w:rFonts w:cs="Times New Roman"/>
          <w:i/>
          <w:iCs/>
          <w:kern w:val="0"/>
          <w:sz w:val="24"/>
          <w:szCs w:val="24"/>
        </w:rPr>
        <w:t>see</w:t>
      </w:r>
      <w:r w:rsidRPr="00491737">
        <w:rPr>
          <w:rFonts w:cs="Times New Roman"/>
          <w:kern w:val="0"/>
          <w:sz w:val="24"/>
          <w:szCs w:val="24"/>
        </w:rPr>
        <w:t xml:space="preserve"> Instruction 17.30 (Copyright—Affirmative Defense—Limitation on Liability for Information Residing on Systems or Networks at Direction of Users).</w:t>
      </w:r>
    </w:p>
    <w:p w14:paraId="4D44B3BB" w14:textId="77777777" w:rsidR="00B8533E" w:rsidRPr="00491737" w:rsidRDefault="00B8533E" w:rsidP="00B8533E">
      <w:pPr>
        <w:widowControl w:val="0"/>
        <w:autoSpaceDE w:val="0"/>
        <w:autoSpaceDN w:val="0"/>
        <w:adjustRightInd w:val="0"/>
        <w:spacing w:after="0" w:line="240" w:lineRule="auto"/>
        <w:ind w:firstLine="720"/>
        <w:rPr>
          <w:rFonts w:cs="Times New Roman"/>
          <w:kern w:val="0"/>
          <w:sz w:val="24"/>
          <w:szCs w:val="24"/>
        </w:rPr>
      </w:pPr>
    </w:p>
    <w:p w14:paraId="3A163A13" w14:textId="1E9C36E0" w:rsidR="00FE7F82" w:rsidRDefault="00B8533E" w:rsidP="00B8533E">
      <w:pPr>
        <w:rPr>
          <w:rFonts w:cs="Times New Roman"/>
          <w:kern w:val="0"/>
          <w:sz w:val="24"/>
          <w:szCs w:val="24"/>
        </w:rPr>
      </w:pPr>
      <w:r w:rsidRPr="00491737">
        <w:rPr>
          <w:rFonts w:cs="Times New Roman"/>
          <w:b/>
          <w:bCs/>
          <w:kern w:val="0"/>
          <w:sz w:val="24"/>
          <w:szCs w:val="24"/>
        </w:rPr>
        <w:t>Information Location Tools:</w:t>
      </w:r>
      <w:r w:rsidRPr="00491737">
        <w:rPr>
          <w:rFonts w:cs="Times New Roman"/>
          <w:kern w:val="0"/>
          <w:sz w:val="24"/>
          <w:szCs w:val="24"/>
        </w:rPr>
        <w:t xml:space="preserve"> This defense applies only to “infringement of copyright </w:t>
      </w:r>
      <w:r w:rsidRPr="00491737">
        <w:rPr>
          <w:rFonts w:cs="Times New Roman"/>
          <w:i/>
          <w:iCs/>
          <w:kern w:val="0"/>
          <w:sz w:val="24"/>
          <w:szCs w:val="24"/>
        </w:rPr>
        <w:t>by reason of</w:t>
      </w:r>
      <w:r w:rsidRPr="00491737">
        <w:rPr>
          <w:rFonts w:cs="Times New Roman"/>
          <w:kern w:val="0"/>
          <w:sz w:val="24"/>
          <w:szCs w:val="24"/>
        </w:rPr>
        <w:t xml:space="preserve"> the provider referring or linking users to an online location containing infringing material or infringing activity.” </w:t>
      </w:r>
      <w:r w:rsidRPr="00491737">
        <w:rPr>
          <w:rFonts w:cs="Times New Roman"/>
          <w:i/>
          <w:iCs/>
          <w:kern w:val="0"/>
          <w:sz w:val="24"/>
          <w:szCs w:val="24"/>
        </w:rPr>
        <w:t xml:space="preserve">Perfect 10, Inc. v. </w:t>
      </w:r>
      <w:proofErr w:type="spellStart"/>
      <w:r w:rsidRPr="00491737">
        <w:rPr>
          <w:rFonts w:cs="Times New Roman"/>
          <w:i/>
          <w:iCs/>
          <w:kern w:val="0"/>
          <w:sz w:val="24"/>
          <w:szCs w:val="24"/>
        </w:rPr>
        <w:t>CCBill</w:t>
      </w:r>
      <w:proofErr w:type="spellEnd"/>
      <w:r w:rsidRPr="00491737">
        <w:rPr>
          <w:rFonts w:cs="Times New Roman"/>
          <w:i/>
          <w:iCs/>
          <w:kern w:val="0"/>
          <w:sz w:val="24"/>
          <w:szCs w:val="24"/>
        </w:rPr>
        <w:t xml:space="preserve"> LLC</w:t>
      </w:r>
      <w:r w:rsidRPr="00491737">
        <w:rPr>
          <w:rFonts w:cs="Times New Roman"/>
          <w:kern w:val="0"/>
          <w:sz w:val="24"/>
          <w:szCs w:val="24"/>
        </w:rPr>
        <w:t>, 488 F.3d 1102, 1116-17 (9th Cir. 2007) (explaining that § 512(d) did not create “blanket immunity” when a defendant provided users with a hyperlink to infringing material but also engaged in other infringing activity).</w:t>
      </w:r>
    </w:p>
    <w:p w14:paraId="29D14F65" w14:textId="351B272B" w:rsidR="006E7114" w:rsidRPr="006E7114" w:rsidRDefault="006E7114" w:rsidP="006E7114">
      <w:pPr>
        <w:jc w:val="right"/>
        <w:rPr>
          <w:i/>
          <w:iCs/>
        </w:rPr>
      </w:pPr>
      <w:r w:rsidRPr="006E7114">
        <w:rPr>
          <w:rFonts w:cs="Times New Roman"/>
          <w:i/>
          <w:iCs/>
          <w:kern w:val="0"/>
          <w:sz w:val="24"/>
          <w:szCs w:val="24"/>
        </w:rPr>
        <w:t>Revised Dec. 2023</w:t>
      </w:r>
    </w:p>
    <w:sectPr w:rsidR="006E7114" w:rsidRPr="006E7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3E"/>
    <w:rsid w:val="006E7114"/>
    <w:rsid w:val="00887257"/>
    <w:rsid w:val="00B8533E"/>
    <w:rsid w:val="00D24045"/>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BBDA"/>
  <w15:chartTrackingRefBased/>
  <w15:docId w15:val="{065BE62A-0565-45F1-B55A-6BFBC50E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3E"/>
    <w:rPr>
      <w:rFonts w:ascii="Times New Roman" w:hAnsi="Times New Roman"/>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E7114"/>
    <w:pPr>
      <w:spacing w:after="0" w:line="240" w:lineRule="auto"/>
    </w:pPr>
    <w:rPr>
      <w:rFonts w:ascii="Times New Roman"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3</cp:revision>
  <dcterms:created xsi:type="dcterms:W3CDTF">2024-02-04T01:58:00Z</dcterms:created>
  <dcterms:modified xsi:type="dcterms:W3CDTF">2024-03-25T19:00:00Z</dcterms:modified>
</cp:coreProperties>
</file>