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E64C" w14:textId="77777777" w:rsidR="00FE0962" w:rsidRPr="00491737" w:rsidRDefault="00FE0962" w:rsidP="00F3612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</w:rPr>
      </w:pPr>
      <w:r w:rsidRPr="00491737">
        <w:rPr>
          <w:rFonts w:eastAsia="Times New Roman" w:cs="Times New Roman"/>
          <w:b/>
          <w:bCs/>
          <w:kern w:val="0"/>
          <w:sz w:val="24"/>
          <w:szCs w:val="24"/>
        </w:rPr>
        <w:t>17.32 Copyright—Damages (17 U.S.C. §</w:t>
      </w:r>
      <w:r w:rsidRPr="00491737">
        <w:rPr>
          <w:rFonts w:cs="Times New Roman"/>
          <w:sz w:val="24"/>
          <w:szCs w:val="24"/>
        </w:rPr>
        <w:t> </w:t>
      </w:r>
      <w:r w:rsidRPr="00491737">
        <w:rPr>
          <w:rFonts w:eastAsia="Times New Roman" w:cs="Times New Roman"/>
          <w:b/>
          <w:bCs/>
          <w:kern w:val="0"/>
          <w:sz w:val="24"/>
          <w:szCs w:val="24"/>
        </w:rPr>
        <w:t>504)</w:t>
      </w:r>
    </w:p>
    <w:p w14:paraId="19ECB2E0" w14:textId="77777777" w:rsidR="00FE0962" w:rsidRPr="00491737" w:rsidRDefault="00FE0962" w:rsidP="00F3612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2896F6DF" w14:textId="77777777" w:rsidR="00FE0962" w:rsidRPr="00491737" w:rsidRDefault="00FE0962" w:rsidP="00F36123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w w:val="105"/>
          <w:kern w:val="0"/>
          <w:sz w:val="24"/>
          <w:szCs w:val="24"/>
        </w:rPr>
      </w:pPr>
      <w:r w:rsidRPr="00491737">
        <w:rPr>
          <w:rFonts w:eastAsia="Times New Roman" w:cs="Times New Roman"/>
          <w:w w:val="105"/>
          <w:kern w:val="0"/>
          <w:sz w:val="24"/>
          <w:szCs w:val="24"/>
        </w:rPr>
        <w:t>If you find for the plaintiff on the plaintiff’s copyright infringement claim, you must determine the plaintiff’s damages.</w:t>
      </w:r>
      <w:r w:rsidRPr="00491737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The plaintiff is entitled to recover the actual damages suffered as a result</w:t>
      </w:r>
      <w:r w:rsidRPr="00491737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of</w:t>
      </w:r>
      <w:r w:rsidRPr="00491737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the infringement.</w:t>
      </w:r>
      <w:r w:rsidRPr="00491737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In addition,</w:t>
      </w:r>
      <w:r w:rsidRPr="00491737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the plaintiff</w:t>
      </w:r>
      <w:r w:rsidRPr="00491737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is also entitled to recover</w:t>
      </w:r>
      <w:r w:rsidRPr="00491737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any profits</w:t>
      </w:r>
      <w:r w:rsidRPr="00491737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of</w:t>
      </w:r>
      <w:r w:rsidRPr="00491737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491737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defendant</w:t>
      </w:r>
      <w:r w:rsidRPr="00491737">
        <w:rPr>
          <w:rFonts w:eastAsia="Times New Roman" w:cs="Times New Roman"/>
          <w:spacing w:val="-1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attributable</w:t>
      </w:r>
      <w:r w:rsidRPr="00491737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to</w:t>
      </w:r>
      <w:r w:rsidRPr="00491737">
        <w:rPr>
          <w:rFonts w:eastAsia="Times New Roman" w:cs="Times New Roman"/>
          <w:spacing w:val="-6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491737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infringement.</w:t>
      </w:r>
      <w:r w:rsidRPr="00491737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491737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plaintiff</w:t>
      </w:r>
      <w:r w:rsidRPr="00491737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must</w:t>
      </w:r>
      <w:r w:rsidRPr="00491737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prove</w:t>
      </w:r>
      <w:r w:rsidRPr="00491737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damages</w:t>
      </w:r>
      <w:r w:rsidRPr="00491737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by</w:t>
      </w:r>
      <w:r w:rsidRPr="00491737">
        <w:rPr>
          <w:rFonts w:eastAsia="Times New Roman" w:cs="Times New Roman"/>
          <w:spacing w:val="-6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a preponderance of the evidence.</w:t>
      </w:r>
    </w:p>
    <w:p w14:paraId="42898508" w14:textId="77777777" w:rsidR="00FE0962" w:rsidRPr="00491737" w:rsidRDefault="00FE0962" w:rsidP="00F36123">
      <w:pPr>
        <w:widowControl w:val="0"/>
        <w:autoSpaceDE w:val="0"/>
        <w:autoSpaceDN w:val="0"/>
        <w:spacing w:after="0" w:line="240" w:lineRule="auto"/>
        <w:ind w:right="173"/>
        <w:rPr>
          <w:rFonts w:eastAsia="Times New Roman" w:cs="Times New Roman"/>
          <w:w w:val="105"/>
          <w:kern w:val="0"/>
          <w:sz w:val="24"/>
          <w:szCs w:val="24"/>
        </w:rPr>
      </w:pPr>
    </w:p>
    <w:p w14:paraId="30C14A57" w14:textId="77777777" w:rsidR="00FE0962" w:rsidRPr="00491737" w:rsidRDefault="00FE0962" w:rsidP="00F36123">
      <w:pPr>
        <w:widowControl w:val="0"/>
        <w:autoSpaceDE w:val="0"/>
        <w:autoSpaceDN w:val="0"/>
        <w:spacing w:after="0" w:line="240" w:lineRule="auto"/>
        <w:ind w:right="173"/>
        <w:jc w:val="center"/>
        <w:rPr>
          <w:rFonts w:eastAsia="Times New Roman" w:cs="Times New Roman"/>
          <w:b/>
          <w:bCs/>
          <w:kern w:val="0"/>
          <w:sz w:val="24"/>
          <w:szCs w:val="24"/>
        </w:rPr>
      </w:pPr>
      <w:r w:rsidRPr="00491737">
        <w:rPr>
          <w:rFonts w:eastAsia="Times New Roman" w:cs="Times New Roman"/>
          <w:b/>
          <w:bCs/>
          <w:w w:val="105"/>
          <w:kern w:val="0"/>
          <w:sz w:val="24"/>
          <w:szCs w:val="24"/>
        </w:rPr>
        <w:t>Comment</w:t>
      </w:r>
    </w:p>
    <w:p w14:paraId="024DBB8F" w14:textId="77777777" w:rsidR="00FE0962" w:rsidRPr="00491737" w:rsidRDefault="00FE0962" w:rsidP="00F3612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kern w:val="0"/>
          <w:sz w:val="24"/>
          <w:szCs w:val="24"/>
        </w:rPr>
      </w:pPr>
    </w:p>
    <w:p w14:paraId="7B210927" w14:textId="77777777" w:rsidR="00FE0962" w:rsidRPr="00491737" w:rsidRDefault="00FE0962" w:rsidP="00F36123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kern w:val="0"/>
          <w:sz w:val="24"/>
          <w:szCs w:val="24"/>
        </w:rPr>
      </w:pPr>
      <w:r w:rsidRPr="00491737">
        <w:rPr>
          <w:rFonts w:eastAsia="Times New Roman" w:cs="Times New Roman"/>
          <w:w w:val="105"/>
          <w:kern w:val="0"/>
          <w:sz w:val="24"/>
          <w:szCs w:val="24"/>
        </w:rPr>
        <w:t>Give</w:t>
      </w:r>
      <w:r w:rsidRPr="00491737">
        <w:rPr>
          <w:rFonts w:eastAsia="Times New Roman" w:cs="Times New Roman"/>
          <w:spacing w:val="-1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this</w:t>
      </w:r>
      <w:r w:rsidRPr="00491737">
        <w:rPr>
          <w:rFonts w:eastAsia="Times New Roman" w:cs="Times New Roman"/>
          <w:spacing w:val="-1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instruction</w:t>
      </w:r>
      <w:r w:rsidRPr="00491737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along</w:t>
      </w:r>
      <w:r w:rsidRPr="00491737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with</w:t>
      </w:r>
      <w:r w:rsidRPr="00491737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Instructions</w:t>
      </w:r>
      <w:r w:rsidRPr="00491737">
        <w:rPr>
          <w:rFonts w:eastAsia="Times New Roman" w:cs="Times New Roman"/>
          <w:spacing w:val="-1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5.1</w:t>
      </w:r>
      <w:r w:rsidRPr="00491737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(Damages—Proof),</w:t>
      </w:r>
      <w:r w:rsidRPr="00491737">
        <w:rPr>
          <w:rFonts w:eastAsia="Times New Roman" w:cs="Times New Roman"/>
          <w:spacing w:val="-13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17.33</w:t>
      </w:r>
      <w:r w:rsidRPr="00491737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(Copyright—Damages—Actual Damages), and 17.34 (Copyright—Damages—Defendant’s Profits).</w:t>
      </w:r>
    </w:p>
    <w:p w14:paraId="3D6923D1" w14:textId="77777777" w:rsidR="00FE0962" w:rsidRPr="00491737" w:rsidRDefault="00FE0962" w:rsidP="00F3612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058FE312" w14:textId="30BEAE43" w:rsidR="00FE0962" w:rsidRPr="00491737" w:rsidRDefault="00FE0962" w:rsidP="00F36123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kern w:val="0"/>
          <w:sz w:val="24"/>
          <w:szCs w:val="24"/>
        </w:rPr>
      </w:pPr>
      <w:r w:rsidRPr="00491737">
        <w:rPr>
          <w:rFonts w:eastAsia="Times New Roman" w:cs="Times New Roman"/>
          <w:w w:val="105"/>
          <w:kern w:val="0"/>
          <w:sz w:val="24"/>
          <w:szCs w:val="24"/>
        </w:rPr>
        <w:t>Under</w:t>
      </w:r>
      <w:r w:rsidRPr="00491737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17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U.S.C.</w:t>
      </w:r>
      <w:r w:rsidRPr="00491737">
        <w:rPr>
          <w:rFonts w:eastAsia="Times New Roman" w:cs="Times New Roman"/>
          <w:spacing w:val="-1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§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> 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504(b),</w:t>
      </w:r>
      <w:r w:rsidRPr="00491737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491737">
        <w:rPr>
          <w:rFonts w:eastAsia="Times New Roman" w:cs="Times New Roman"/>
          <w:spacing w:val="-6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copyright</w:t>
      </w:r>
      <w:r w:rsidRPr="00491737">
        <w:rPr>
          <w:rFonts w:eastAsia="Times New Roman" w:cs="Times New Roman"/>
          <w:spacing w:val="-1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owner</w:t>
      </w:r>
      <w:r w:rsidRPr="00491737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is</w:t>
      </w:r>
      <w:r w:rsidRPr="00491737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entitled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to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recover</w:t>
      </w:r>
      <w:r w:rsidRPr="00491737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491737">
        <w:rPr>
          <w:rFonts w:eastAsia="Times New Roman" w:cs="Times New Roman"/>
          <w:spacing w:val="-6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actual</w:t>
      </w:r>
      <w:r w:rsidRPr="00491737">
        <w:rPr>
          <w:rFonts w:eastAsia="Times New Roman" w:cs="Times New Roman"/>
          <w:spacing w:val="-1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damages suffered as a result</w:t>
      </w:r>
      <w:r w:rsidRPr="00491737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of the infringement,</w:t>
      </w:r>
      <w:r w:rsidRPr="00491737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as well</w:t>
      </w:r>
      <w:r w:rsidRPr="00491737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 xml:space="preserve">as any profits of the infringer that are attributable to the infringement and that are not </w:t>
      </w:r>
      <w:proofErr w:type="gramStart"/>
      <w:r w:rsidRPr="00491737">
        <w:rPr>
          <w:rFonts w:eastAsia="Times New Roman" w:cs="Times New Roman"/>
          <w:w w:val="105"/>
          <w:kern w:val="0"/>
          <w:sz w:val="24"/>
          <w:szCs w:val="24"/>
        </w:rPr>
        <w:t>taken into account</w:t>
      </w:r>
      <w:proofErr w:type="gramEnd"/>
      <w:r w:rsidRPr="00491737">
        <w:rPr>
          <w:rFonts w:eastAsia="Times New Roman" w:cs="Times New Roman"/>
          <w:w w:val="105"/>
          <w:kern w:val="0"/>
          <w:sz w:val="24"/>
          <w:szCs w:val="24"/>
        </w:rPr>
        <w:t xml:space="preserve"> in computing the actual damages.</w:t>
      </w:r>
      <w:r w:rsidRPr="00491737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i/>
          <w:w w:val="105"/>
          <w:kern w:val="0"/>
          <w:sz w:val="24"/>
          <w:szCs w:val="24"/>
        </w:rPr>
        <w:t>See Polar Bear Prods., Inc. v. Timex Corp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., 384 F.3d 700, 708 (9th Cir.</w:t>
      </w:r>
      <w:r w:rsidRPr="00491737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2004) (noting additionally that</w:t>
      </w:r>
      <w:r w:rsidRPr="00491737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“actual</w:t>
      </w:r>
      <w:r w:rsidRPr="00491737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damages must</w:t>
      </w:r>
      <w:r w:rsidRPr="00491737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be suffered ‘as a result</w:t>
      </w:r>
      <w:r w:rsidRPr="00491737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of the infringement,’ and recoverable profits must</w:t>
      </w:r>
      <w:r w:rsidRPr="00491737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be ‘attributable to the infringement’”);</w:t>
      </w:r>
      <w:r w:rsidRPr="00491737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i/>
          <w:w w:val="105"/>
          <w:kern w:val="0"/>
          <w:sz w:val="24"/>
          <w:szCs w:val="24"/>
        </w:rPr>
        <w:t>Frank Music Corp. v. Metro-Goldwyn-Mayer, Inc.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, 772 F.2d 505, 512 n.5 (9th Cir. 1985)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.</w:t>
      </w:r>
    </w:p>
    <w:p w14:paraId="7C06CA5B" w14:textId="77777777" w:rsidR="00FE0962" w:rsidRPr="00491737" w:rsidRDefault="00FE0962" w:rsidP="00F3612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7FE30A50" w14:textId="65796C6C" w:rsidR="00FE0962" w:rsidRPr="00491737" w:rsidRDefault="00FE0962" w:rsidP="00923328">
      <w:pPr>
        <w:widowControl w:val="0"/>
        <w:autoSpaceDE w:val="0"/>
        <w:autoSpaceDN w:val="0"/>
        <w:spacing w:after="0" w:line="240" w:lineRule="auto"/>
        <w:ind w:right="118" w:firstLine="720"/>
        <w:rPr>
          <w:rFonts w:eastAsia="Times New Roman" w:cs="Times New Roman"/>
          <w:kern w:val="0"/>
          <w:sz w:val="24"/>
          <w:szCs w:val="24"/>
        </w:rPr>
      </w:pPr>
      <w:r w:rsidRPr="00491737">
        <w:rPr>
          <w:rFonts w:cs="Times New Roman"/>
          <w:spacing w:val="-5"/>
          <w:w w:val="105"/>
          <w:sz w:val="24"/>
          <w:szCs w:val="24"/>
        </w:rPr>
        <w:t xml:space="preserve">Section </w:t>
      </w:r>
      <w:r w:rsidRPr="00491737">
        <w:rPr>
          <w:rFonts w:cs="Times New Roman"/>
          <w:w w:val="105"/>
          <w:sz w:val="24"/>
          <w:szCs w:val="24"/>
        </w:rPr>
        <w:t>504(c)(1)</w:t>
      </w:r>
      <w:r w:rsidRPr="00491737">
        <w:rPr>
          <w:rFonts w:cs="Times New Roman"/>
          <w:spacing w:val="-8"/>
          <w:w w:val="105"/>
          <w:sz w:val="24"/>
          <w:szCs w:val="24"/>
        </w:rPr>
        <w:t xml:space="preserve"> provides that </w:t>
      </w:r>
      <w:r w:rsidRPr="00491737">
        <w:rPr>
          <w:rFonts w:cs="Times New Roman"/>
          <w:w w:val="105"/>
          <w:sz w:val="24"/>
          <w:szCs w:val="24"/>
        </w:rPr>
        <w:t>the</w:t>
      </w:r>
      <w:r w:rsidRPr="0049173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plaintiff</w:t>
      </w:r>
      <w:r w:rsidRPr="0049173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may</w:t>
      </w:r>
      <w:r w:rsidRPr="0049173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“elect,</w:t>
      </w:r>
      <w:r w:rsidRPr="0049173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91737">
        <w:rPr>
          <w:rFonts w:cs="Times New Roman"/>
          <w:i/>
          <w:w w:val="105"/>
          <w:sz w:val="24"/>
          <w:szCs w:val="24"/>
        </w:rPr>
        <w:t>at</w:t>
      </w:r>
      <w:r w:rsidRPr="00491737">
        <w:rPr>
          <w:rFonts w:cs="Times New Roman"/>
          <w:i/>
          <w:spacing w:val="-3"/>
          <w:w w:val="105"/>
          <w:sz w:val="24"/>
          <w:szCs w:val="24"/>
        </w:rPr>
        <w:t xml:space="preserve"> </w:t>
      </w:r>
      <w:r w:rsidRPr="00491737">
        <w:rPr>
          <w:rFonts w:cs="Times New Roman"/>
          <w:i/>
          <w:w w:val="105"/>
          <w:sz w:val="24"/>
          <w:szCs w:val="24"/>
        </w:rPr>
        <w:t>any</w:t>
      </w:r>
      <w:r w:rsidRPr="00491737">
        <w:rPr>
          <w:rFonts w:cs="Times New Roman"/>
          <w:i/>
          <w:spacing w:val="-6"/>
          <w:w w:val="105"/>
          <w:sz w:val="24"/>
          <w:szCs w:val="24"/>
        </w:rPr>
        <w:t xml:space="preserve"> </w:t>
      </w:r>
      <w:r w:rsidRPr="00491737">
        <w:rPr>
          <w:rFonts w:cs="Times New Roman"/>
          <w:i/>
          <w:w w:val="105"/>
          <w:sz w:val="24"/>
          <w:szCs w:val="24"/>
        </w:rPr>
        <w:t>time</w:t>
      </w:r>
      <w:r w:rsidRPr="00491737">
        <w:rPr>
          <w:rFonts w:cs="Times New Roman"/>
          <w:i/>
          <w:spacing w:val="-3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before</w:t>
      </w:r>
      <w:r w:rsidRPr="0049173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final</w:t>
      </w:r>
      <w:r w:rsidRPr="0049173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judgment</w:t>
      </w:r>
      <w:r w:rsidRPr="0049173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is rendered” whether to seek actual or statutory damages.</w:t>
      </w:r>
      <w:r w:rsidRPr="00491737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91737">
        <w:rPr>
          <w:rFonts w:cs="Times New Roman"/>
          <w:i/>
          <w:w w:val="105"/>
          <w:sz w:val="24"/>
          <w:szCs w:val="24"/>
        </w:rPr>
        <w:t>See Derek Andrew, Inc. v. Poof Apparel Corp.</w:t>
      </w:r>
      <w:r w:rsidRPr="00491737">
        <w:rPr>
          <w:rFonts w:cs="Times New Roman"/>
          <w:w w:val="105"/>
          <w:sz w:val="24"/>
          <w:szCs w:val="24"/>
        </w:rPr>
        <w:t xml:space="preserve">, 528 F.3d 696, 699 (9th Cir. 2008); </w:t>
      </w:r>
      <w:r w:rsidRPr="00491737">
        <w:rPr>
          <w:rFonts w:cs="Times New Roman"/>
          <w:i/>
          <w:w w:val="105"/>
          <w:sz w:val="24"/>
          <w:szCs w:val="24"/>
        </w:rPr>
        <w:t>L.A. News Serv. v. Reuters Television Int’l, Ltd.</w:t>
      </w:r>
      <w:r w:rsidRPr="00491737">
        <w:rPr>
          <w:rFonts w:cs="Times New Roman"/>
          <w:w w:val="105"/>
          <w:sz w:val="24"/>
          <w:szCs w:val="24"/>
        </w:rPr>
        <w:t>, 149 F.3d 987, 995 (9th Cir. 1998).</w:t>
      </w:r>
      <w:r w:rsidRPr="00491737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If the copyright owner elects to recover statutory damages, the owner cannot also recover actual damages.</w:t>
      </w:r>
      <w:r w:rsidRPr="00491737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 xml:space="preserve">17 U.S.C. § 504(c)(1); </w:t>
      </w:r>
      <w:r w:rsidRPr="00491737">
        <w:rPr>
          <w:rFonts w:cs="Times New Roman"/>
          <w:i/>
          <w:w w:val="105"/>
          <w:sz w:val="24"/>
          <w:szCs w:val="24"/>
        </w:rPr>
        <w:t>see</w:t>
      </w:r>
      <w:r w:rsidRPr="00491737">
        <w:rPr>
          <w:rFonts w:cs="Times New Roman"/>
          <w:i/>
          <w:spacing w:val="-11"/>
          <w:w w:val="105"/>
          <w:sz w:val="24"/>
          <w:szCs w:val="24"/>
        </w:rPr>
        <w:t xml:space="preserve"> </w:t>
      </w:r>
      <w:r w:rsidRPr="00491737">
        <w:rPr>
          <w:rFonts w:cs="Times New Roman"/>
          <w:i/>
          <w:w w:val="105"/>
          <w:sz w:val="24"/>
          <w:szCs w:val="24"/>
        </w:rPr>
        <w:t>also</w:t>
      </w:r>
      <w:r w:rsidRPr="00491737">
        <w:rPr>
          <w:rFonts w:cs="Times New Roman"/>
          <w:i/>
          <w:spacing w:val="-10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Instruction</w:t>
      </w:r>
      <w:r w:rsidRPr="0049173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17.35</w:t>
      </w:r>
      <w:r w:rsidRPr="0049173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(Copyright—Damages—Statutory</w:t>
      </w:r>
      <w:r w:rsidRPr="0049173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Damages);</w:t>
      </w:r>
      <w:r w:rsidRPr="00491737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491737">
        <w:rPr>
          <w:rFonts w:cs="Times New Roman"/>
          <w:i/>
          <w:w w:val="105"/>
          <w:sz w:val="24"/>
          <w:szCs w:val="24"/>
        </w:rPr>
        <w:t>Derek</w:t>
      </w:r>
      <w:r w:rsidRPr="00491737">
        <w:rPr>
          <w:rFonts w:cs="Times New Roman"/>
          <w:i/>
          <w:spacing w:val="-11"/>
          <w:w w:val="105"/>
          <w:sz w:val="24"/>
          <w:szCs w:val="24"/>
        </w:rPr>
        <w:t xml:space="preserve"> </w:t>
      </w:r>
      <w:r w:rsidRPr="00491737">
        <w:rPr>
          <w:rFonts w:cs="Times New Roman"/>
          <w:i/>
          <w:w w:val="105"/>
          <w:sz w:val="24"/>
          <w:szCs w:val="24"/>
        </w:rPr>
        <w:t>Andrew</w:t>
      </w:r>
      <w:r w:rsidRPr="00491737">
        <w:rPr>
          <w:rFonts w:cs="Times New Roman"/>
          <w:w w:val="105"/>
          <w:sz w:val="24"/>
          <w:szCs w:val="24"/>
        </w:rPr>
        <w:t>,</w:t>
      </w:r>
      <w:r w:rsidRPr="00491737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>528</w:t>
      </w:r>
      <w:r w:rsidRPr="0049173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491737">
        <w:rPr>
          <w:rFonts w:cs="Times New Roman"/>
          <w:w w:val="105"/>
          <w:sz w:val="24"/>
          <w:szCs w:val="24"/>
        </w:rPr>
        <w:t xml:space="preserve">F.3d at 699; </w:t>
      </w:r>
      <w:r w:rsidRPr="00491737">
        <w:rPr>
          <w:rFonts w:cs="Times New Roman"/>
          <w:i/>
          <w:w w:val="105"/>
          <w:sz w:val="24"/>
          <w:szCs w:val="24"/>
        </w:rPr>
        <w:t>Nintendo of Am., Inc. v. Dragon Pac. Int’l</w:t>
      </w:r>
      <w:r w:rsidRPr="00491737">
        <w:rPr>
          <w:rFonts w:cs="Times New Roman"/>
          <w:w w:val="105"/>
          <w:sz w:val="24"/>
          <w:szCs w:val="24"/>
        </w:rPr>
        <w:t xml:space="preserve">, 40 F.3d 1007, 1010-11 (9th Cir. 1994) (explaining punitive purpose of statutory damages and compensatory purpose of actual </w:t>
      </w:r>
      <w:r w:rsidRPr="00491737">
        <w:rPr>
          <w:rFonts w:cs="Times New Roman"/>
          <w:spacing w:val="-2"/>
          <w:w w:val="105"/>
          <w:sz w:val="24"/>
          <w:szCs w:val="24"/>
        </w:rPr>
        <w:t>damages).</w:t>
      </w:r>
    </w:p>
    <w:p w14:paraId="233049FA" w14:textId="77777777" w:rsidR="00FE0962" w:rsidRPr="00491737" w:rsidRDefault="00FE0962" w:rsidP="00923328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kern w:val="0"/>
          <w:sz w:val="24"/>
          <w:szCs w:val="24"/>
        </w:rPr>
      </w:pPr>
    </w:p>
    <w:p w14:paraId="2A95C85A" w14:textId="5FE7F947" w:rsidR="00FE7F82" w:rsidRDefault="00FE0962" w:rsidP="00F36123">
      <w:pPr>
        <w:spacing w:after="0" w:line="240" w:lineRule="auto"/>
        <w:ind w:firstLine="720"/>
        <w:rPr>
          <w:rFonts w:eastAsia="Times New Roman" w:cs="Times New Roman"/>
          <w:w w:val="105"/>
          <w:kern w:val="0"/>
          <w:sz w:val="24"/>
          <w:szCs w:val="24"/>
        </w:rPr>
      </w:pPr>
      <w:r w:rsidRPr="00491737">
        <w:rPr>
          <w:rFonts w:eastAsia="Times New Roman" w:cs="Times New Roman"/>
          <w:w w:val="105"/>
          <w:kern w:val="0"/>
          <w:sz w:val="24"/>
          <w:szCs w:val="24"/>
        </w:rPr>
        <w:t>When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injury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is</w:t>
      </w:r>
      <w:r w:rsidRPr="00491737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shown,</w:t>
      </w:r>
      <w:r w:rsidRPr="00491737">
        <w:rPr>
          <w:rFonts w:eastAsia="Times New Roman" w:cs="Times New Roman"/>
          <w:spacing w:val="-1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but</w:t>
      </w:r>
      <w:r w:rsidRPr="00491737">
        <w:rPr>
          <w:rFonts w:eastAsia="Times New Roman" w:cs="Times New Roman"/>
          <w:spacing w:val="-1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neither</w:t>
      </w:r>
      <w:r w:rsidRPr="00491737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profits</w:t>
      </w:r>
      <w:r w:rsidRPr="00491737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nor</w:t>
      </w:r>
      <w:r w:rsidRPr="00491737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damages</w:t>
      </w:r>
      <w:r w:rsidRPr="00491737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can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be</w:t>
      </w:r>
      <w:r w:rsidRPr="00491737">
        <w:rPr>
          <w:rFonts w:eastAsia="Times New Roman" w:cs="Times New Roman"/>
          <w:spacing w:val="-6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proved,</w:t>
      </w:r>
      <w:r w:rsidRPr="00491737">
        <w:rPr>
          <w:rFonts w:eastAsia="Times New Roman" w:cs="Times New Roman"/>
          <w:spacing w:val="-1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statutory</w:t>
      </w:r>
      <w:r w:rsidRPr="00491737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damages are mandatory.</w:t>
      </w:r>
      <w:r w:rsidRPr="00491737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i/>
          <w:w w:val="105"/>
          <w:kern w:val="0"/>
          <w:sz w:val="24"/>
          <w:szCs w:val="24"/>
        </w:rPr>
        <w:t>Russell v. Price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 xml:space="preserve">, 612 F.2d 1123, 1129-30 (9th Cir. 1979); </w:t>
      </w:r>
      <w:r w:rsidRPr="00491737">
        <w:rPr>
          <w:rFonts w:eastAsia="Times New Roman" w:cs="Times New Roman"/>
          <w:i/>
          <w:w w:val="105"/>
          <w:kern w:val="0"/>
          <w:sz w:val="24"/>
          <w:szCs w:val="24"/>
        </w:rPr>
        <w:t>Pye v. Mitchell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, 574 F.2d 476, 481 (9th Cir. 1978).</w:t>
      </w:r>
      <w:r w:rsidRPr="00491737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When the copyright owner fails to register its copyright before commencement of the infringement, it can recover only actual damages and profits and cannot seek statutory damages.</w:t>
      </w:r>
      <w:r w:rsidRPr="00491737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i/>
          <w:w w:val="105"/>
          <w:kern w:val="0"/>
          <w:sz w:val="24"/>
          <w:szCs w:val="24"/>
        </w:rPr>
        <w:t>Derek Andrew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 xml:space="preserve">, 528 F.3d at 699; </w:t>
      </w:r>
      <w:r w:rsidRPr="00491737">
        <w:rPr>
          <w:rFonts w:eastAsia="Times New Roman" w:cs="Times New Roman"/>
          <w:i/>
          <w:w w:val="105"/>
          <w:kern w:val="0"/>
          <w:sz w:val="24"/>
          <w:szCs w:val="24"/>
        </w:rPr>
        <w:t>Polar Bear Prods.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, 384 F.3d at 707 n.5.</w:t>
      </w:r>
    </w:p>
    <w:p w14:paraId="108C9ECC" w14:textId="77777777" w:rsidR="00EA4432" w:rsidRDefault="00EA4432" w:rsidP="00F36123">
      <w:pPr>
        <w:spacing w:after="0" w:line="240" w:lineRule="auto"/>
        <w:ind w:firstLine="720"/>
      </w:pPr>
    </w:p>
    <w:p w14:paraId="5C73C182" w14:textId="3106D1B6" w:rsidR="00EA4432" w:rsidRPr="00EA4432" w:rsidRDefault="00EA4432" w:rsidP="00EA4432">
      <w:pPr>
        <w:spacing w:after="0" w:line="240" w:lineRule="auto"/>
        <w:ind w:firstLine="720"/>
        <w:jc w:val="right"/>
        <w:rPr>
          <w:i/>
          <w:iCs/>
          <w:sz w:val="24"/>
          <w:szCs w:val="24"/>
        </w:rPr>
      </w:pPr>
      <w:r w:rsidRPr="00EA4432">
        <w:rPr>
          <w:i/>
          <w:iCs/>
          <w:sz w:val="24"/>
          <w:szCs w:val="24"/>
        </w:rPr>
        <w:t>Revised Dec. 2023</w:t>
      </w:r>
    </w:p>
    <w:sectPr w:rsidR="00EA4432" w:rsidRPr="00EA4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62"/>
    <w:rsid w:val="00887257"/>
    <w:rsid w:val="00923328"/>
    <w:rsid w:val="00E61CB1"/>
    <w:rsid w:val="00E70AB4"/>
    <w:rsid w:val="00EA4432"/>
    <w:rsid w:val="00F36123"/>
    <w:rsid w:val="00FE0962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FCBA"/>
  <w15:chartTrackingRefBased/>
  <w15:docId w15:val="{BC089FDA-EFB5-4523-8963-F60964CF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62"/>
    <w:rPr>
      <w:rFonts w:ascii="Times New Roman" w:hAnsi="Times New Roman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4432"/>
    <w:pPr>
      <w:spacing w:after="0" w:line="240" w:lineRule="auto"/>
    </w:pPr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6</cp:revision>
  <dcterms:created xsi:type="dcterms:W3CDTF">2024-02-04T01:59:00Z</dcterms:created>
  <dcterms:modified xsi:type="dcterms:W3CDTF">2024-03-25T19:02:00Z</dcterms:modified>
</cp:coreProperties>
</file>