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CC2BB" w14:textId="6B9B66E9" w:rsidR="0071413A" w:rsidRDefault="0018080E" w:rsidP="0071413A">
      <w:pPr>
        <w:jc w:val="center"/>
        <w:rPr>
          <w:b/>
          <w:bCs/>
        </w:rPr>
      </w:pPr>
      <w:r>
        <w:rPr>
          <w:b/>
          <w:bCs/>
        </w:rPr>
        <w:t xml:space="preserve">17.6 </w:t>
      </w:r>
      <w:r w:rsidR="0071413A">
        <w:rPr>
          <w:b/>
          <w:bCs/>
        </w:rPr>
        <w:t xml:space="preserve">Copyright Infringement—Ownership of Valid Copyright—Definition </w:t>
      </w:r>
    </w:p>
    <w:p w14:paraId="5C84A742" w14:textId="7FB65DE3" w:rsidR="0018080E" w:rsidRDefault="0018080E" w:rsidP="0071413A">
      <w:pPr>
        <w:jc w:val="center"/>
      </w:pPr>
      <w:r>
        <w:rPr>
          <w:b/>
          <w:bCs/>
        </w:rPr>
        <w:t>(17 U.S.C. §§ 201</w:t>
      </w:r>
      <w:r>
        <w:t>–</w:t>
      </w:r>
      <w:r>
        <w:rPr>
          <w:b/>
          <w:bCs/>
        </w:rPr>
        <w:t>205)</w:t>
      </w:r>
    </w:p>
    <w:p w14:paraId="681171F4" w14:textId="77777777" w:rsidR="0018080E" w:rsidRDefault="0018080E"/>
    <w:p w14:paraId="004D9BD3" w14:textId="77777777" w:rsidR="0018080E" w:rsidRDefault="0018080E">
      <w:pPr>
        <w:ind w:firstLine="720"/>
      </w:pPr>
      <w:r>
        <w:t xml:space="preserve">The plaintiff is the owner of a valid copyright in </w:t>
      </w:r>
      <w:r>
        <w:rPr>
          <w:u w:val="single"/>
        </w:rPr>
        <w:t>[</w:t>
      </w:r>
      <w:r>
        <w:rPr>
          <w:i/>
          <w:iCs/>
          <w:u w:val="single"/>
        </w:rPr>
        <w:t>identify work[s] allegedly infringed</w:t>
      </w:r>
      <w:r>
        <w:t>] if the plaintiff proves by a preponderance of the evidence that:</w:t>
      </w:r>
    </w:p>
    <w:p w14:paraId="3C5F9CA2" w14:textId="77777777" w:rsidR="0018080E" w:rsidRDefault="0018080E"/>
    <w:p w14:paraId="3B08C86C" w14:textId="77777777" w:rsidR="0018080E" w:rsidRDefault="0018080E">
      <w:pPr>
        <w:ind w:right="720" w:firstLine="720"/>
      </w:pPr>
      <w:r>
        <w:t>1.</w:t>
      </w:r>
      <w:r>
        <w:tab/>
        <w:t>the plaintiff’s work is original; and</w:t>
      </w:r>
    </w:p>
    <w:p w14:paraId="5AFDA9BB" w14:textId="77777777" w:rsidR="0018080E" w:rsidRDefault="0018080E">
      <w:pPr>
        <w:ind w:right="720"/>
      </w:pPr>
    </w:p>
    <w:p w14:paraId="5065443F" w14:textId="77777777" w:rsidR="0018080E" w:rsidRDefault="0018080E">
      <w:pPr>
        <w:ind w:left="1440" w:right="720" w:hanging="720"/>
      </w:pPr>
      <w:r>
        <w:t>2</w:t>
      </w:r>
      <w:r>
        <w:tab/>
        <w:t>the plaintiff [is the author or creator of the work] [received a transfer of the copyright] [received a transfer of the right to [</w:t>
      </w:r>
      <w:r>
        <w:rPr>
          <w:i/>
          <w:iCs/>
          <w:u w:val="single"/>
        </w:rPr>
        <w:t>specify right transferred, e.g., make derivative works, publicly perform the work, etc.</w:t>
      </w:r>
      <w:r>
        <w:t>]].</w:t>
      </w:r>
    </w:p>
    <w:p w14:paraId="57F81281" w14:textId="77777777" w:rsidR="0018080E" w:rsidRDefault="0018080E"/>
    <w:p w14:paraId="62EAD519" w14:textId="77777777" w:rsidR="0018080E" w:rsidRDefault="0018080E">
      <w:pPr>
        <w:jc w:val="center"/>
      </w:pPr>
      <w:r>
        <w:rPr>
          <w:b/>
          <w:bCs/>
        </w:rPr>
        <w:t>Comment</w:t>
      </w:r>
    </w:p>
    <w:p w14:paraId="65FE120C" w14:textId="77777777" w:rsidR="0018080E" w:rsidRDefault="0018080E">
      <w:pPr>
        <w:rPr>
          <w:i/>
          <w:iCs/>
        </w:rPr>
      </w:pPr>
    </w:p>
    <w:p w14:paraId="5F073AC3" w14:textId="77777777" w:rsidR="0018080E" w:rsidRDefault="0018080E">
      <w:pPr>
        <w:ind w:firstLine="720"/>
      </w:pPr>
      <w:r>
        <w:t xml:space="preserve">Under the Copyright Act, the party claiming infringement must show ownership.  </w:t>
      </w:r>
      <w:r>
        <w:rPr>
          <w:rStyle w:val="documentbod1"/>
          <w:i/>
          <w:iCs/>
        </w:rPr>
        <w:t>See Lamps Plus, Inc. v. Seattle Lighting Fixture Co</w:t>
      </w:r>
      <w:r>
        <w:rPr>
          <w:rStyle w:val="documentbod1"/>
        </w:rPr>
        <w:t xml:space="preserve">., 345 F.3d 1140, 1144 (9th Cir. 2003) (“Ownership of the copyright is ... always a threshold question.” (quoting </w:t>
      </w:r>
      <w:proofErr w:type="spellStart"/>
      <w:r>
        <w:rPr>
          <w:rStyle w:val="documentbod1"/>
          <w:i/>
          <w:iCs/>
        </w:rPr>
        <w:t>Topolos</w:t>
      </w:r>
      <w:proofErr w:type="spellEnd"/>
      <w:r>
        <w:rPr>
          <w:rStyle w:val="documentbod1"/>
          <w:i/>
          <w:iCs/>
        </w:rPr>
        <w:t xml:space="preserve"> v. </w:t>
      </w:r>
      <w:proofErr w:type="spellStart"/>
      <w:r>
        <w:rPr>
          <w:rStyle w:val="documentbod1"/>
          <w:i/>
          <w:iCs/>
        </w:rPr>
        <w:t>Caldewey</w:t>
      </w:r>
      <w:proofErr w:type="spellEnd"/>
      <w:r>
        <w:rPr>
          <w:rStyle w:val="documentbod1"/>
        </w:rPr>
        <w:t>,</w:t>
      </w:r>
      <w:r>
        <w:rPr>
          <w:rStyle w:val="documentbod1"/>
          <w:i/>
          <w:iCs/>
        </w:rPr>
        <w:t xml:space="preserve"> </w:t>
      </w:r>
      <w:r>
        <w:rPr>
          <w:rStyle w:val="documentbod1"/>
        </w:rPr>
        <w:t xml:space="preserve">698 </w:t>
      </w:r>
      <w:r>
        <w:t>F.2d 991, 994 (9th Cir. 1983))).</w:t>
      </w:r>
    </w:p>
    <w:p w14:paraId="1D4BF50B" w14:textId="77777777" w:rsidR="0071413A" w:rsidRDefault="0071413A">
      <w:pPr>
        <w:ind w:firstLine="720"/>
      </w:pPr>
    </w:p>
    <w:p w14:paraId="0B859A72" w14:textId="3F1F2C42" w:rsidR="0071413A" w:rsidRPr="000D7537" w:rsidRDefault="0071413A" w:rsidP="0071413A">
      <w:pPr>
        <w:ind w:firstLine="720"/>
        <w:rPr>
          <w:bCs/>
        </w:rPr>
      </w:pPr>
      <w:r w:rsidRPr="000D7537">
        <w:rPr>
          <w:bCs/>
        </w:rPr>
        <w:t xml:space="preserve">Under the Copyright Act, no copyright infringement exists if an “owner of a copy of a computer program . . . </w:t>
      </w:r>
      <w:proofErr w:type="spellStart"/>
      <w:r w:rsidRPr="000D7537">
        <w:rPr>
          <w:bCs/>
        </w:rPr>
        <w:t>mak</w:t>
      </w:r>
      <w:proofErr w:type="spellEnd"/>
      <w:r w:rsidRPr="000D7537">
        <w:rPr>
          <w:bCs/>
        </w:rPr>
        <w:t>[es] . . . another copy or adaptation of that computer program” for certain purposes, such as when is an “essential step” in using the program. 17 U.S.C. § 117(a)</w:t>
      </w:r>
      <w:r w:rsidR="003D448E" w:rsidRPr="000D7537">
        <w:rPr>
          <w:bCs/>
        </w:rPr>
        <w:t>(1)</w:t>
      </w:r>
      <w:r w:rsidRPr="000D7537">
        <w:rPr>
          <w:bCs/>
        </w:rPr>
        <w:t xml:space="preserve">. To determine whether a party is an “owner of a copy” of a computer program, the court looks to whether the party has “sufficient incidents of ownership” over the copy of the software program. </w:t>
      </w:r>
      <w:r w:rsidRPr="000D7537">
        <w:rPr>
          <w:bCs/>
          <w:i/>
          <w:iCs/>
        </w:rPr>
        <w:t>Oracle Int’l Corp. v. Rimini St., Inc</w:t>
      </w:r>
      <w:r w:rsidRPr="000D7537">
        <w:rPr>
          <w:bCs/>
        </w:rPr>
        <w:t xml:space="preserve">., 123 F.4th 986, 997 (9th Cir. 2024) (deciding </w:t>
      </w:r>
      <w:r w:rsidR="003D448E" w:rsidRPr="000D7537">
        <w:rPr>
          <w:bCs/>
        </w:rPr>
        <w:t xml:space="preserve">this question by </w:t>
      </w:r>
      <w:r w:rsidRPr="000D7537">
        <w:rPr>
          <w:bCs/>
        </w:rPr>
        <w:t>review</w:t>
      </w:r>
      <w:r w:rsidR="003D448E" w:rsidRPr="000D7537">
        <w:rPr>
          <w:bCs/>
        </w:rPr>
        <w:t>ing</w:t>
      </w:r>
      <w:r w:rsidRPr="000D7537">
        <w:rPr>
          <w:bCs/>
        </w:rPr>
        <w:t xml:space="preserve"> </w:t>
      </w:r>
      <w:r w:rsidR="003D448E" w:rsidRPr="000D7537">
        <w:rPr>
          <w:bCs/>
        </w:rPr>
        <w:t>“</w:t>
      </w:r>
      <w:r w:rsidRPr="000D7537">
        <w:rPr>
          <w:bCs/>
        </w:rPr>
        <w:t xml:space="preserve">the totality of </w:t>
      </w:r>
      <w:r w:rsidR="003D448E" w:rsidRPr="000D7537">
        <w:rPr>
          <w:bCs/>
        </w:rPr>
        <w:t xml:space="preserve">the </w:t>
      </w:r>
      <w:r w:rsidRPr="000D7537">
        <w:rPr>
          <w:bCs/>
        </w:rPr>
        <w:t>parties’ agreement</w:t>
      </w:r>
      <w:r w:rsidR="003D448E" w:rsidRPr="000D7537">
        <w:rPr>
          <w:bCs/>
        </w:rPr>
        <w:t>”</w:t>
      </w:r>
      <w:r w:rsidRPr="000D7537">
        <w:rPr>
          <w:bCs/>
        </w:rPr>
        <w:t>);</w:t>
      </w:r>
      <w:r w:rsidRPr="000D7537">
        <w:rPr>
          <w:bCs/>
          <w:i/>
          <w:iCs/>
        </w:rPr>
        <w:t xml:space="preserve"> see</w:t>
      </w:r>
      <w:r w:rsidRPr="000D7537">
        <w:rPr>
          <w:bCs/>
        </w:rPr>
        <w:t xml:space="preserve"> 17 U.S.C. § 202 (“Ownership of a copyright</w:t>
      </w:r>
      <w:r w:rsidR="009A6344" w:rsidRPr="000D7537">
        <w:rPr>
          <w:bCs/>
        </w:rPr>
        <w:t xml:space="preserve"> . . . </w:t>
      </w:r>
      <w:r w:rsidRPr="000D7537">
        <w:rPr>
          <w:bCs/>
        </w:rPr>
        <w:t>is distinct from ownership of any material object in which the work is embodied.”).</w:t>
      </w:r>
    </w:p>
    <w:p w14:paraId="731D8273" w14:textId="3ED85EAC" w:rsidR="0071413A" w:rsidRDefault="0071413A">
      <w:pPr>
        <w:ind w:firstLine="720"/>
      </w:pPr>
    </w:p>
    <w:p w14:paraId="623ED5A1" w14:textId="0E375951" w:rsidR="003D448E" w:rsidRPr="003D448E" w:rsidRDefault="003D448E" w:rsidP="003D448E">
      <w:pPr>
        <w:ind w:left="2880" w:firstLine="720"/>
        <w:jc w:val="right"/>
        <w:rPr>
          <w:i/>
          <w:iCs/>
        </w:rPr>
      </w:pPr>
      <w:r w:rsidRPr="003D448E">
        <w:rPr>
          <w:i/>
          <w:iCs/>
        </w:rPr>
        <w:t>Revised March 2025</w:t>
      </w:r>
    </w:p>
    <w:sectPr w:rsidR="003D448E" w:rsidRPr="003D448E" w:rsidSect="0018080E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80E"/>
    <w:rsid w:val="000D7537"/>
    <w:rsid w:val="0018080E"/>
    <w:rsid w:val="00314E85"/>
    <w:rsid w:val="003D448E"/>
    <w:rsid w:val="0071413A"/>
    <w:rsid w:val="009A6344"/>
    <w:rsid w:val="00BE0F07"/>
    <w:rsid w:val="00DE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0A3130"/>
  <w14:defaultImageDpi w14:val="0"/>
  <w15:docId w15:val="{A46A72D9-7497-4A35-A5C3-49EFDAAF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character" w:customStyle="1" w:styleId="documentbod1">
    <w:name w:val="documentbod1"/>
    <w:uiPriority w:val="99"/>
  </w:style>
  <w:style w:type="paragraph" w:styleId="Revision">
    <w:name w:val="Revision"/>
    <w:hidden/>
    <w:uiPriority w:val="99"/>
    <w:semiHidden/>
    <w:rsid w:val="0071413A"/>
    <w:pPr>
      <w:spacing w:after="0" w:line="240" w:lineRule="auto"/>
    </w:pPr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Aejung Yoon</dc:creator>
  <cp:keywords/>
  <dc:description/>
  <cp:lastModifiedBy>Samriddhi Rana</cp:lastModifiedBy>
  <cp:revision>4</cp:revision>
  <dcterms:created xsi:type="dcterms:W3CDTF">2025-04-10T18:20:00Z</dcterms:created>
  <dcterms:modified xsi:type="dcterms:W3CDTF">2025-04-25T01:51:00Z</dcterms:modified>
</cp:coreProperties>
</file>