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337D" w14:textId="77777777" w:rsidR="00CE3684" w:rsidRPr="00845725" w:rsidRDefault="00CE3684" w:rsidP="00CE3684">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37"/>
      <w:r w:rsidRPr="00845725">
        <w:rPr>
          <w:rFonts w:ascii="Times New Roman" w:eastAsia="Calibri" w:hAnsi="Times New Roman" w:cs="Times New Roman"/>
          <w:b/>
          <w:bCs/>
          <w:kern w:val="0"/>
          <w14:ligatures w14:val="none"/>
        </w:rPr>
        <w:t>17.7</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b/>
          <w:bCs/>
          <w:kern w:val="0"/>
          <w14:ligatures w14:val="none"/>
        </w:rPr>
        <w:t xml:space="preserve">Copyright Infringement—Copyright Registration Certificate </w:t>
      </w:r>
      <w:r w:rsidRPr="00845725">
        <w:rPr>
          <w:rFonts w:ascii="Times New Roman" w:eastAsia="Calibri" w:hAnsi="Times New Roman" w:cs="Times New Roman"/>
          <w:b/>
          <w:bCs/>
          <w:kern w:val="0"/>
          <w14:ligatures w14:val="none"/>
        </w:rPr>
        <w:br/>
        <w:t>(17 U.S.C. § 410(c))</w:t>
      </w:r>
      <w:bookmarkEnd w:id="0"/>
    </w:p>
    <w:p w14:paraId="59E04349"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0B82318C"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A copyright owner may obtain a certificate of registration from the Copyright Office.</w:t>
      </w:r>
    </w:p>
    <w:p w14:paraId="1CB37C29"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2CAF027E"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The evidence in this case includes Exhibit ___, a certificate of copyright registration from the Copyright Office. If you find that this certificate was made </w:t>
      </w:r>
      <w:r>
        <w:rPr>
          <w:rFonts w:ascii="Times New Roman" w:eastAsia="Calibri" w:hAnsi="Times New Roman" w:cs="Times New Roman"/>
          <w:kern w:val="0"/>
          <w14:ligatures w14:val="none"/>
        </w:rPr>
        <w:t>[</w:t>
      </w:r>
      <w:r w:rsidRPr="006362BA">
        <w:rPr>
          <w:rFonts w:ascii="Times New Roman" w:eastAsia="Calibri" w:hAnsi="Times New Roman" w:cs="Times New Roman"/>
          <w:kern w:val="0"/>
          <w14:ligatures w14:val="none"/>
        </w:rPr>
        <w:t xml:space="preserve">before or] </w:t>
      </w:r>
      <w:r w:rsidRPr="00845725">
        <w:rPr>
          <w:rFonts w:ascii="Times New Roman" w:eastAsia="Calibri" w:hAnsi="Times New Roman" w:cs="Times New Roman"/>
          <w:kern w:val="0"/>
          <w14:ligatures w14:val="none"/>
        </w:rPr>
        <w:t xml:space="preserve">within five years after first publication of the plaintiff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kern w:val="0"/>
          <w14:ligatures w14:val="none"/>
        </w:rPr>
        <w:t>’s work, you must presume that there is a valid copyright in [</w:t>
      </w:r>
      <w:r w:rsidRPr="00845725">
        <w:rPr>
          <w:rFonts w:ascii="Times New Roman" w:eastAsia="Calibri" w:hAnsi="Times New Roman" w:cs="Times New Roman"/>
          <w:i/>
          <w:iCs/>
          <w:kern w:val="0"/>
          <w:u w:val="single"/>
          <w14:ligatures w14:val="none"/>
        </w:rPr>
        <w:t>identify the work in question</w:t>
      </w:r>
      <w:r w:rsidRPr="00845725">
        <w:rPr>
          <w:rFonts w:ascii="Times New Roman" w:eastAsia="Calibri" w:hAnsi="Times New Roman" w:cs="Times New Roman"/>
          <w:kern w:val="0"/>
          <w14:ligatures w14:val="none"/>
        </w:rPr>
        <w:t>] and presume to be true the facts stated in the certificate including [</w:t>
      </w:r>
      <w:r w:rsidRPr="00845725">
        <w:rPr>
          <w:rFonts w:ascii="Times New Roman" w:eastAsia="Calibri" w:hAnsi="Times New Roman" w:cs="Times New Roman"/>
          <w:i/>
          <w:iCs/>
          <w:kern w:val="0"/>
          <w:u w:val="single"/>
          <w14:ligatures w14:val="none"/>
        </w:rPr>
        <w:t>state specifics of the certificate relevant to the case, e.g., that plaintiff’s work is the original and copyrightable work of the author and that the plaintiff owns the copyright in that work</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which I explain in Instructions [</w:t>
      </w:r>
      <w:r w:rsidRPr="00845725">
        <w:rPr>
          <w:rFonts w:ascii="Times New Roman" w:eastAsia="Calibri" w:hAnsi="Times New Roman" w:cs="Times New Roman"/>
          <w:i/>
          <w:iCs/>
          <w:kern w:val="0"/>
          <w:u w:val="single"/>
          <w14:ligatures w14:val="none"/>
        </w:rPr>
        <w:t>insert instruction numbers relevant to elements of plaintiff’s burden</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kern w:val="0"/>
          <w:u w:val="double"/>
          <w14:ligatures w14:val="none"/>
        </w:rPr>
        <w:t xml:space="preserve"> </w:t>
      </w:r>
      <w:r w:rsidRPr="00845725">
        <w:rPr>
          <w:rFonts w:ascii="Times New Roman" w:eastAsia="Calibri" w:hAnsi="Times New Roman" w:cs="Times New Roman"/>
          <w:kern w:val="0"/>
          <w14:ligatures w14:val="none"/>
        </w:rPr>
        <w:t xml:space="preserve">The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has the burden of disproving these facts.</w:t>
      </w:r>
    </w:p>
    <w:p w14:paraId="50FF6E32"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72334682"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If you find that the evidence presented by [</w:t>
      </w:r>
      <w:r w:rsidRPr="00845725">
        <w:rPr>
          <w:rFonts w:ascii="Times New Roman" w:eastAsia="Calibri" w:hAnsi="Times New Roman" w:cs="Times New Roman"/>
          <w:i/>
          <w:iCs/>
          <w:kern w:val="0"/>
          <w:u w:val="single"/>
          <w14:ligatures w14:val="none"/>
        </w:rPr>
        <w:t>state the name of defendant(s)</w:t>
      </w:r>
      <w:r w:rsidRPr="00845725">
        <w:rPr>
          <w:rFonts w:ascii="Times New Roman" w:eastAsia="Calibri" w:hAnsi="Times New Roman" w:cs="Times New Roman"/>
          <w:kern w:val="0"/>
          <w14:ligatures w14:val="none"/>
        </w:rPr>
        <w:t>] disproves either the validity of the copyright or any of the facts stated in the registration certificate, you may find that [</w:t>
      </w:r>
      <w:r w:rsidRPr="00845725">
        <w:rPr>
          <w:rFonts w:ascii="Times New Roman" w:eastAsia="Calibri" w:hAnsi="Times New Roman" w:cs="Times New Roman"/>
          <w:i/>
          <w:iCs/>
          <w:kern w:val="0"/>
          <w:u w:val="single"/>
          <w14:ligatures w14:val="none"/>
        </w:rPr>
        <w:t>state the name of plaintiff(s)</w:t>
      </w:r>
      <w:r w:rsidRPr="00845725">
        <w:rPr>
          <w:rFonts w:ascii="Times New Roman" w:eastAsia="Calibri" w:hAnsi="Times New Roman" w:cs="Times New Roman"/>
          <w:kern w:val="0"/>
          <w14:ligatures w14:val="none"/>
        </w:rPr>
        <w:t>] has failed to show ownership of a copyrightable work.</w:t>
      </w:r>
    </w:p>
    <w:p w14:paraId="3424DAF8"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Comment</w:t>
      </w:r>
    </w:p>
    <w:p w14:paraId="04F12BBF"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3327F516"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Under the Copyright Act, the party claiming infringement must show ownership of a copyrightable work. </w:t>
      </w:r>
      <w:r w:rsidRPr="00845725">
        <w:rPr>
          <w:rFonts w:ascii="Times New Roman" w:eastAsia="Calibri" w:hAnsi="Times New Roman" w:cs="Times New Roman"/>
          <w:i/>
          <w:iCs/>
          <w:kern w:val="0"/>
          <w14:ligatures w14:val="none"/>
        </w:rPr>
        <w:t>See Lamps Plus, Inc. v. Seattle Lighting Fixture Co</w:t>
      </w:r>
      <w:r w:rsidRPr="00845725">
        <w:rPr>
          <w:rFonts w:ascii="Times New Roman" w:eastAsia="Calibri" w:hAnsi="Times New Roman" w:cs="Times New Roman"/>
          <w:kern w:val="0"/>
          <w14:ligatures w14:val="none"/>
        </w:rPr>
        <w:t xml:space="preserve">., 345 F.3d 1140, 1144 (9th Cir. 2003) (“Ownership of the copyright is … always a threshold question.” (quoting </w:t>
      </w:r>
      <w:proofErr w:type="spellStart"/>
      <w:r w:rsidRPr="00845725">
        <w:rPr>
          <w:rFonts w:ascii="Times New Roman" w:eastAsia="Calibri" w:hAnsi="Times New Roman" w:cs="Times New Roman"/>
          <w:i/>
          <w:iCs/>
          <w:kern w:val="0"/>
          <w14:ligatures w14:val="none"/>
        </w:rPr>
        <w:t>Topolos</w:t>
      </w:r>
      <w:proofErr w:type="spellEnd"/>
      <w:r w:rsidRPr="00845725">
        <w:rPr>
          <w:rFonts w:ascii="Times New Roman" w:eastAsia="Calibri" w:hAnsi="Times New Roman" w:cs="Times New Roman"/>
          <w:i/>
          <w:iCs/>
          <w:kern w:val="0"/>
          <w14:ligatures w14:val="none"/>
        </w:rPr>
        <w:t xml:space="preserve"> v. </w:t>
      </w:r>
      <w:proofErr w:type="spellStart"/>
      <w:r w:rsidRPr="00845725">
        <w:rPr>
          <w:rFonts w:ascii="Times New Roman" w:eastAsia="Calibri" w:hAnsi="Times New Roman" w:cs="Times New Roman"/>
          <w:i/>
          <w:iCs/>
          <w:kern w:val="0"/>
          <w14:ligatures w14:val="none"/>
        </w:rPr>
        <w:t>Caldewey</w:t>
      </w:r>
      <w:proofErr w:type="spellEnd"/>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 xml:space="preserve">698 F.2d 991, 994 (9th Cir. 1983))), </w:t>
      </w:r>
      <w:r w:rsidRPr="00845725">
        <w:rPr>
          <w:rFonts w:ascii="Times New Roman" w:eastAsia="Calibri" w:hAnsi="Times New Roman" w:cs="Times New Roman"/>
          <w:i/>
          <w:iCs/>
          <w:kern w:val="0"/>
          <w14:ligatures w14:val="none"/>
        </w:rPr>
        <w:t xml:space="preserve">abrogated on other grounds by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Inc. v. H&amp;M Hennes &amp; Mauritz, L.P.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xml:space="preserve"> II)</w:t>
      </w:r>
      <w:r w:rsidRPr="00845725">
        <w:rPr>
          <w:rFonts w:ascii="Times New Roman" w:eastAsia="Calibri" w:hAnsi="Times New Roman" w:cs="Times New Roman"/>
          <w:kern w:val="0"/>
          <w14:ligatures w14:val="none"/>
        </w:rPr>
        <w:t xml:space="preserve">, 595 U.S. 178 (2022). </w:t>
      </w:r>
    </w:p>
    <w:p w14:paraId="1EF21766"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b/>
          <w:bCs/>
          <w:kern w:val="0"/>
          <w:u w:val="double"/>
          <w14:ligatures w14:val="none"/>
        </w:rPr>
      </w:pPr>
    </w:p>
    <w:p w14:paraId="487865B1"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This instruction should be given if the plaintiff submits a copyright registration certificate and there is a dispute as to its validity or the facts stated in the certificate.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4DE215A3"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7564DBFD"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“[I]f a copyright holder secures a registration certificate </w:t>
      </w:r>
      <w:r>
        <w:rPr>
          <w:rFonts w:ascii="Times New Roman" w:eastAsia="Calibri" w:hAnsi="Times New Roman" w:cs="Times New Roman"/>
          <w:kern w:val="0"/>
          <w14:ligatures w14:val="none"/>
        </w:rPr>
        <w:t>[</w:t>
      </w:r>
      <w:r w:rsidRPr="006362BA">
        <w:rPr>
          <w:rFonts w:ascii="Times New Roman" w:eastAsia="Calibri" w:hAnsi="Times New Roman" w:cs="Times New Roman"/>
          <w:kern w:val="0"/>
          <w14:ligatures w14:val="none"/>
        </w:rPr>
        <w:t xml:space="preserve">before or] </w:t>
      </w:r>
      <w:r w:rsidRPr="00845725">
        <w:rPr>
          <w:rFonts w:ascii="Times New Roman" w:eastAsia="Calibri" w:hAnsi="Times New Roman" w:cs="Times New Roman"/>
          <w:kern w:val="0"/>
          <w14:ligatures w14:val="none"/>
        </w:rPr>
        <w:t xml:space="preserve">within five years after first publication, such certificate will constitute prima facie evidence of both the validity of the copyright and the facts stated in the certificate.” </w:t>
      </w:r>
      <w:r w:rsidRPr="00845725">
        <w:rPr>
          <w:rFonts w:ascii="Times New Roman" w:eastAsia="Calibri" w:hAnsi="Times New Roman" w:cs="Times New Roman"/>
          <w:i/>
          <w:iCs/>
          <w:kern w:val="0"/>
          <w14:ligatures w14:val="none"/>
        </w:rPr>
        <w:t>Cosmetic Ideas, Inc. v. IAC/</w:t>
      </w:r>
      <w:proofErr w:type="spellStart"/>
      <w:r w:rsidRPr="00845725">
        <w:rPr>
          <w:rFonts w:ascii="Times New Roman" w:eastAsia="Calibri" w:hAnsi="Times New Roman" w:cs="Times New Roman"/>
          <w:i/>
          <w:iCs/>
          <w:kern w:val="0"/>
          <w14:ligatures w14:val="none"/>
        </w:rPr>
        <w:t>Interactivecorp</w:t>
      </w:r>
      <w:proofErr w:type="spellEnd"/>
      <w:r w:rsidRPr="00845725">
        <w:rPr>
          <w:rFonts w:ascii="Times New Roman" w:eastAsia="Calibri" w:hAnsi="Times New Roman" w:cs="Times New Roman"/>
          <w:i/>
          <w:iCs/>
          <w:kern w:val="0"/>
          <w14:ligatures w14:val="none"/>
        </w:rPr>
        <w:t>,</w:t>
      </w:r>
      <w:r w:rsidRPr="00845725">
        <w:rPr>
          <w:rFonts w:ascii="Times New Roman" w:eastAsia="Calibri" w:hAnsi="Times New Roman" w:cs="Times New Roman"/>
          <w:kern w:val="0"/>
          <w14:ligatures w14:val="none"/>
        </w:rPr>
        <w:t xml:space="preserve"> 606 F.3d 612, 619 (9th Cir. 2010) (citing 17 U.S.C. § 410(c)), </w:t>
      </w:r>
      <w:r w:rsidRPr="00845725">
        <w:rPr>
          <w:rFonts w:ascii="Times New Roman" w:eastAsia="Calibri" w:hAnsi="Times New Roman" w:cs="Times New Roman"/>
          <w:i/>
          <w:iCs/>
          <w:kern w:val="0"/>
          <w14:ligatures w14:val="none"/>
        </w:rPr>
        <w:t>abrogated on other grounds by Fourth Est.</w:t>
      </w:r>
      <w:r>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i/>
          <w:iCs/>
          <w:kern w:val="0"/>
          <w14:ligatures w14:val="none"/>
        </w:rPr>
        <w:t>Pub. Benefit Corp. v. Wall-Street.com, LLC</w:t>
      </w:r>
      <w:r w:rsidRPr="00845725">
        <w:rPr>
          <w:rFonts w:ascii="Times New Roman" w:eastAsia="Calibri" w:hAnsi="Times New Roman" w:cs="Times New Roman"/>
          <w:kern w:val="0"/>
          <w14:ligatures w14:val="none"/>
        </w:rPr>
        <w:t>, 586 U.S. 296 (2019). Such a registration certificate entitles the plaintiff “to a rebuttable presumption” of a valid copyright,</w:t>
      </w:r>
      <w:r w:rsidRPr="00845725">
        <w:rPr>
          <w:rFonts w:ascii="Times New Roman" w:eastAsia="Calibri" w:hAnsi="Times New Roman" w:cs="Times New Roman"/>
          <w:i/>
          <w:iCs/>
          <w:kern w:val="0"/>
          <w14:ligatures w14:val="none"/>
        </w:rPr>
        <w:t xml:space="preserve"> </w:t>
      </w:r>
      <w:proofErr w:type="spellStart"/>
      <w:r w:rsidRPr="00845725">
        <w:rPr>
          <w:rFonts w:ascii="Times New Roman" w:eastAsia="Calibri" w:hAnsi="Times New Roman" w:cs="Times New Roman"/>
          <w:i/>
          <w:iCs/>
          <w:kern w:val="0"/>
          <w14:ligatures w14:val="none"/>
        </w:rPr>
        <w:t>Ets-Hokin</w:t>
      </w:r>
      <w:proofErr w:type="spellEnd"/>
      <w:r w:rsidRPr="00845725">
        <w:rPr>
          <w:rFonts w:ascii="Times New Roman" w:eastAsia="Calibri" w:hAnsi="Times New Roman" w:cs="Times New Roman"/>
          <w:i/>
          <w:iCs/>
          <w:kern w:val="0"/>
          <w14:ligatures w14:val="none"/>
        </w:rPr>
        <w:t xml:space="preserve"> v. Skyy Spirits, Inc.</w:t>
      </w:r>
      <w:r w:rsidRPr="00845725">
        <w:rPr>
          <w:rFonts w:ascii="Times New Roman" w:eastAsia="Calibri" w:hAnsi="Times New Roman" w:cs="Times New Roman"/>
          <w:kern w:val="0"/>
          <w14:ligatures w14:val="none"/>
        </w:rPr>
        <w:t xml:space="preserve">, 225 F.3d 1068, 1075 (9th Cir. 2000), and the burden shifts to the defendant to prove that the plaintiff lacks a valid copyright in the work or to prove the falsity of any “fact[] set forth in the copyright certificate,” </w:t>
      </w:r>
      <w:r w:rsidRPr="00845725">
        <w:rPr>
          <w:rFonts w:ascii="Times New Roman" w:eastAsia="Calibri" w:hAnsi="Times New Roman" w:cs="Times New Roman"/>
          <w:i/>
          <w:iCs/>
          <w:kern w:val="0"/>
          <w14:ligatures w14:val="none"/>
        </w:rPr>
        <w:t>United Fabrics Int’l, Inc. v. C&amp;J Wear, Inc.</w:t>
      </w:r>
      <w:r w:rsidRPr="00845725">
        <w:rPr>
          <w:rFonts w:ascii="Times New Roman" w:eastAsia="Calibri" w:hAnsi="Times New Roman" w:cs="Times New Roman"/>
          <w:kern w:val="0"/>
          <w14:ligatures w14:val="none"/>
        </w:rPr>
        <w:t xml:space="preserve">, 630 F.3d 1255, 1257 (9th Cir. 2011); </w:t>
      </w:r>
      <w:r w:rsidRPr="00845725">
        <w:rPr>
          <w:rFonts w:ascii="Times New Roman" w:eastAsia="Calibri" w:hAnsi="Times New Roman" w:cs="Times New Roman"/>
          <w:i/>
          <w:iCs/>
          <w:kern w:val="0"/>
          <w14:ligatures w14:val="none"/>
        </w:rPr>
        <w:t xml:space="preserve">see also </w:t>
      </w:r>
      <w:proofErr w:type="spellStart"/>
      <w:r w:rsidRPr="00845725">
        <w:rPr>
          <w:rFonts w:ascii="Times New Roman" w:eastAsia="Calibri" w:hAnsi="Times New Roman" w:cs="Times New Roman"/>
          <w:i/>
          <w:iCs/>
          <w:kern w:val="0"/>
          <w14:ligatures w14:val="none"/>
        </w:rPr>
        <w:t>Transgo</w:t>
      </w:r>
      <w:proofErr w:type="spellEnd"/>
      <w:r w:rsidRPr="00845725">
        <w:rPr>
          <w:rFonts w:ascii="Times New Roman" w:eastAsia="Calibri" w:hAnsi="Times New Roman" w:cs="Times New Roman"/>
          <w:i/>
          <w:iCs/>
          <w:kern w:val="0"/>
          <w14:ligatures w14:val="none"/>
        </w:rPr>
        <w:t xml:space="preserve"> Inc. v. </w:t>
      </w:r>
      <w:proofErr w:type="spellStart"/>
      <w:r w:rsidRPr="00845725">
        <w:rPr>
          <w:rFonts w:ascii="Times New Roman" w:eastAsia="Calibri" w:hAnsi="Times New Roman" w:cs="Times New Roman"/>
          <w:i/>
          <w:iCs/>
          <w:kern w:val="0"/>
          <w14:ligatures w14:val="none"/>
        </w:rPr>
        <w:t>Ajac</w:t>
      </w:r>
      <w:proofErr w:type="spellEnd"/>
      <w:r w:rsidRPr="00845725">
        <w:rPr>
          <w:rFonts w:ascii="Times New Roman" w:eastAsia="Calibri" w:hAnsi="Times New Roman" w:cs="Times New Roman"/>
          <w:i/>
          <w:iCs/>
          <w:kern w:val="0"/>
          <w14:ligatures w14:val="none"/>
        </w:rPr>
        <w:t xml:space="preserve"> Transmission Parts Corp.</w:t>
      </w:r>
      <w:r w:rsidRPr="00845725">
        <w:rPr>
          <w:rFonts w:ascii="Times New Roman" w:eastAsia="Calibri" w:hAnsi="Times New Roman" w:cs="Times New Roman"/>
          <w:kern w:val="0"/>
          <w14:ligatures w14:val="none"/>
        </w:rPr>
        <w:t>, 768 F.2d 1001, 1019 (9th Cir. 1985) (“Under both the Copyright Act of 1909 and the Copyright Act of 1976, registration by the</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 xml:space="preserve">Copyright Office is prima facie evidence of copyrightability. This presumption shifts the burden of proof to the challenging party to demonstrate why the item in </w:t>
      </w:r>
      <w:r w:rsidRPr="00845725">
        <w:rPr>
          <w:rFonts w:ascii="Times New Roman" w:eastAsia="Calibri" w:hAnsi="Times New Roman" w:cs="Times New Roman"/>
          <w:kern w:val="0"/>
          <w14:ligatures w14:val="none"/>
        </w:rPr>
        <w:lastRenderedPageBreak/>
        <w:t xml:space="preserve">question is not copyrightable.”). For a definition of publication,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17 U.S.C. § 101. For a definition of when a “registration of the copyright claim has been made in accordance with [the Copyright Act],” see </w:t>
      </w:r>
      <w:r w:rsidRPr="00845725">
        <w:rPr>
          <w:rFonts w:ascii="Times New Roman" w:eastAsia="Calibri" w:hAnsi="Times New Roman" w:cs="Times New Roman"/>
          <w:i/>
          <w:iCs/>
          <w:kern w:val="0"/>
          <w14:ligatures w14:val="none"/>
        </w:rPr>
        <w:t>Fourth Est. Pub. Benefit Corp.</w:t>
      </w:r>
      <w:r w:rsidRPr="00845725">
        <w:rPr>
          <w:rFonts w:ascii="Times New Roman" w:eastAsia="Calibri" w:hAnsi="Times New Roman" w:cs="Times New Roman"/>
          <w:kern w:val="0"/>
          <w14:ligatures w14:val="none"/>
        </w:rPr>
        <w:t xml:space="preserve">, 485 U.S. at 299-300.    </w:t>
      </w:r>
    </w:p>
    <w:p w14:paraId="39586794"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0F8A7D8C"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The Copyright Act contains a safe harbor, 17 U.S.C. § 411(b)(1)(A), which provides that a certificate of registration is valid even though it contains inaccurate information, as long as the copyright holder did not “</w:t>
      </w:r>
      <w:r w:rsidRPr="00845725">
        <w:rPr>
          <w:rFonts w:ascii="Times New Roman" w:eastAsia="Calibri" w:hAnsi="Times New Roman" w:cs="Times New Roman"/>
          <w:i/>
          <w:iCs/>
          <w:kern w:val="0"/>
          <w14:ligatures w14:val="none"/>
        </w:rPr>
        <w:t xml:space="preserve">knowingly </w:t>
      </w:r>
      <w:r w:rsidRPr="00845725">
        <w:rPr>
          <w:rFonts w:ascii="Times New Roman" w:eastAsia="Calibri" w:hAnsi="Times New Roman" w:cs="Times New Roman"/>
          <w:kern w:val="0"/>
          <w14:ligatures w14:val="none"/>
        </w:rPr>
        <w:t xml:space="preserve">transmit[] inaccurate </w:t>
      </w:r>
      <w:r w:rsidRPr="00845725">
        <w:rPr>
          <w:rFonts w:ascii="Times New Roman" w:eastAsia="Calibri" w:hAnsi="Times New Roman" w:cs="Times New Roman"/>
          <w:i/>
          <w:iCs/>
          <w:kern w:val="0"/>
          <w14:ligatures w14:val="none"/>
        </w:rPr>
        <w:t xml:space="preserve">material </w:t>
      </w:r>
      <w:r w:rsidRPr="00845725">
        <w:rPr>
          <w:rFonts w:ascii="Times New Roman" w:eastAsia="Calibri" w:hAnsi="Times New Roman" w:cs="Times New Roman"/>
          <w:kern w:val="0"/>
          <w14:ligatures w14:val="none"/>
        </w:rPr>
        <w:t xml:space="preserve">facts to the Register of Copyrights” when it submitted its application for the certificate of registration.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Inc. v. H&amp;M Hennes &amp; Mauritz, L.P.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xml:space="preserve"> III)</w:t>
      </w:r>
      <w:r w:rsidRPr="00845725">
        <w:rPr>
          <w:rFonts w:ascii="Times New Roman" w:eastAsia="Calibri" w:hAnsi="Times New Roman" w:cs="Times New Roman"/>
          <w:kern w:val="0"/>
          <w14:ligatures w14:val="none"/>
        </w:rPr>
        <w:t xml:space="preserve">, 52 F.4th 1054, 1064 (9th Cir. 2022). The safe harbor “does not distinguish between a mistake of law and a mistake of fact. Lack of knowledge of either fact or law can excuse an inaccuracy in a copyright registration.” </w:t>
      </w:r>
      <w:r w:rsidRPr="00845725">
        <w:rPr>
          <w:rFonts w:ascii="Times New Roman" w:eastAsia="Calibri" w:hAnsi="Times New Roman" w:cs="Times New Roman"/>
          <w:i/>
          <w:iCs/>
          <w:kern w:val="0"/>
          <w14:ligatures w14:val="none"/>
        </w:rPr>
        <w:t xml:space="preserve">Id. </w:t>
      </w:r>
      <w:r w:rsidRPr="00845725">
        <w:rPr>
          <w:rFonts w:ascii="Times New Roman" w:eastAsia="Calibri" w:hAnsi="Times New Roman" w:cs="Times New Roman"/>
          <w:kern w:val="0"/>
          <w14:ligatures w14:val="none"/>
        </w:rPr>
        <w:t xml:space="preserve">at 1063 (quoting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xml:space="preserve"> II</w:t>
      </w:r>
      <w:r w:rsidRPr="00845725">
        <w:rPr>
          <w:rFonts w:ascii="Times New Roman" w:eastAsia="Calibri" w:hAnsi="Times New Roman" w:cs="Times New Roman"/>
          <w:kern w:val="0"/>
          <w14:ligatures w14:val="none"/>
        </w:rPr>
        <w:t xml:space="preserve">, 595 U.S. at 182). A court need not accept a copyright holder’s claim that it was unaware of the relevant copyright law. </w:t>
      </w:r>
      <w:r w:rsidRPr="00845725">
        <w:rPr>
          <w:rFonts w:ascii="Times New Roman" w:eastAsia="Calibri" w:hAnsi="Times New Roman" w:cs="Times New Roman"/>
          <w:i/>
          <w:iCs/>
          <w:kern w:val="0"/>
          <w14:ligatures w14:val="none"/>
        </w:rPr>
        <w:t xml:space="preserve">See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xml:space="preserve"> II</w:t>
      </w:r>
      <w:r w:rsidRPr="00845725">
        <w:rPr>
          <w:rFonts w:ascii="Times New Roman" w:eastAsia="Calibri" w:hAnsi="Times New Roman" w:cs="Times New Roman"/>
          <w:kern w:val="0"/>
          <w14:ligatures w14:val="none"/>
        </w:rPr>
        <w:t>, 595 U.S. at 187. Instead, “[c]</w:t>
      </w:r>
      <w:proofErr w:type="spellStart"/>
      <w:r w:rsidRPr="00845725">
        <w:rPr>
          <w:rFonts w:ascii="Times New Roman" w:eastAsia="Calibri" w:hAnsi="Times New Roman" w:cs="Times New Roman"/>
          <w:kern w:val="0"/>
          <w14:ligatures w14:val="none"/>
        </w:rPr>
        <w:t>ircumstantial</w:t>
      </w:r>
      <w:proofErr w:type="spellEnd"/>
      <w:r w:rsidRPr="00845725">
        <w:rPr>
          <w:rFonts w:ascii="Times New Roman" w:eastAsia="Calibri" w:hAnsi="Times New Roman" w:cs="Times New Roman"/>
          <w:kern w:val="0"/>
          <w14:ligatures w14:val="none"/>
        </w:rPr>
        <w:t xml:space="preserve">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5725">
        <w:rPr>
          <w:rFonts w:ascii="Times New Roman" w:eastAsia="Calibri" w:hAnsi="Times New Roman" w:cs="Times New Roman"/>
          <w:i/>
          <w:iCs/>
          <w:kern w:val="0"/>
          <w14:ligatures w14:val="none"/>
        </w:rPr>
        <w:t>Id</w:t>
      </w:r>
      <w:r w:rsidRPr="00845725">
        <w:rPr>
          <w:rFonts w:ascii="Times New Roman" w:eastAsia="Calibri" w:hAnsi="Times New Roman" w:cs="Times New Roman"/>
          <w:kern w:val="0"/>
          <w14:ligatures w14:val="none"/>
        </w:rPr>
        <w:t>., at 187-88.</w:t>
      </w:r>
    </w:p>
    <w:p w14:paraId="4EFF2319"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p>
    <w:p w14:paraId="2CF25B9D"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5725">
        <w:rPr>
          <w:rFonts w:ascii="Times New Roman" w:eastAsia="Calibri" w:hAnsi="Times New Roman" w:cs="Times New Roman"/>
          <w:i/>
          <w:iCs/>
          <w:kern w:val="0"/>
          <w14:ligatures w14:val="none"/>
        </w:rPr>
        <w:t>Cooling Sys. &amp; Flexibles, Inc. v. Stuart Radiator, Inc.</w:t>
      </w:r>
      <w:r w:rsidRPr="00845725">
        <w:rPr>
          <w:rFonts w:ascii="Times New Roman" w:eastAsia="Calibri" w:hAnsi="Times New Roman" w:cs="Times New Roman"/>
          <w:kern w:val="0"/>
          <w14:ligatures w14:val="none"/>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5725">
        <w:rPr>
          <w:rFonts w:ascii="Times New Roman" w:eastAsia="Calibri" w:hAnsi="Times New Roman" w:cs="Times New Roman"/>
          <w:i/>
          <w:iCs/>
          <w:kern w:val="0"/>
          <w14:ligatures w14:val="none"/>
        </w:rPr>
        <w:t>See Harper House, Inc. v. Thomas Nelson, Inc.</w:t>
      </w:r>
      <w:r w:rsidRPr="00845725">
        <w:rPr>
          <w:rFonts w:ascii="Times New Roman" w:eastAsia="Calibri" w:hAnsi="Times New Roman" w:cs="Times New Roman"/>
          <w:kern w:val="0"/>
          <w14:ligatures w14:val="none"/>
        </w:rPr>
        <w:t>, 889 F.2d 197, 203 (9th Cir. 1989) (“[A] copyrightable compilation [can] consist entirely of matter which is not itself copyrightable.”).</w:t>
      </w:r>
    </w:p>
    <w:p w14:paraId="68B14E3B"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7513101C"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Supplemental Instruction</w:t>
      </w:r>
    </w:p>
    <w:p w14:paraId="775E0AD7"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b/>
          <w:bCs/>
          <w:kern w:val="0"/>
          <w14:ligatures w14:val="none"/>
        </w:rPr>
      </w:pPr>
    </w:p>
    <w:p w14:paraId="6DD2BFEE"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5725">
        <w:rPr>
          <w:rFonts w:ascii="Times New Roman" w:eastAsia="Calibri" w:hAnsi="Times New Roman" w:cs="Times New Roman"/>
          <w:kern w:val="0"/>
          <w14:ligatures w14:val="none"/>
        </w:rPr>
        <w:t>]</w:t>
      </w:r>
    </w:p>
    <w:p w14:paraId="491A07F8"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i/>
          <w:iCs/>
          <w:kern w:val="0"/>
          <w14:ligatures w14:val="none"/>
        </w:rPr>
      </w:pPr>
    </w:p>
    <w:p w14:paraId="06B08E56"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i/>
          <w:iCs/>
          <w:kern w:val="0"/>
          <w14:ligatures w14:val="none"/>
        </w:rPr>
      </w:pPr>
      <w:r w:rsidRPr="00845725">
        <w:rPr>
          <w:rFonts w:ascii="Times New Roman" w:eastAsia="Calibri" w:hAnsi="Times New Roman" w:cs="Times New Roman"/>
          <w:kern w:val="0"/>
          <w14:ligatures w14:val="none"/>
        </w:rPr>
        <w:t xml:space="preserve">If you find that this certificate was made more than five years after first publication of the plaintiff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kern w:val="0"/>
          <w14:ligatures w14:val="none"/>
        </w:rPr>
        <w:t>’s work, you are instructed that the certificate is [</w:t>
      </w:r>
      <w:r w:rsidRPr="00845725">
        <w:rPr>
          <w:rFonts w:ascii="Times New Roman" w:eastAsia="Calibri" w:hAnsi="Times New Roman" w:cs="Times New Roman"/>
          <w:i/>
          <w:iCs/>
          <w:kern w:val="0"/>
          <w:u w:val="single"/>
          <w14:ligatures w14:val="none"/>
        </w:rPr>
        <w:t>state the evidentiary weight that the court has accorded to the certificate</w:t>
      </w:r>
      <w:r w:rsidRPr="00845725">
        <w:rPr>
          <w:rFonts w:ascii="Times New Roman" w:eastAsia="Calibri" w:hAnsi="Times New Roman" w:cs="Times New Roman"/>
          <w:kern w:val="0"/>
          <w14:ligatures w14:val="none"/>
        </w:rPr>
        <w:t>] to establish that there is a valid copyright in [</w:t>
      </w:r>
      <w:r w:rsidRPr="00845725">
        <w:rPr>
          <w:rFonts w:ascii="Times New Roman" w:eastAsia="Calibri" w:hAnsi="Times New Roman" w:cs="Times New Roman"/>
          <w:i/>
          <w:iCs/>
          <w:kern w:val="0"/>
          <w:u w:val="single"/>
          <w14:ligatures w14:val="none"/>
        </w:rPr>
        <w:t>identify the work in question</w:t>
      </w:r>
      <w:r w:rsidRPr="00845725">
        <w:rPr>
          <w:rFonts w:ascii="Times New Roman" w:eastAsia="Calibri" w:hAnsi="Times New Roman" w:cs="Times New Roman"/>
          <w:kern w:val="0"/>
          <w14:ligatures w14:val="none"/>
        </w:rPr>
        <w:t>] and to establish the facts stated in the certificate including [</w:t>
      </w:r>
      <w:r w:rsidRPr="00845725">
        <w:rPr>
          <w:rFonts w:ascii="Times New Roman" w:eastAsia="Calibri" w:hAnsi="Times New Roman" w:cs="Times New Roman"/>
          <w:i/>
          <w:iCs/>
          <w:kern w:val="0"/>
          <w:u w:val="single"/>
          <w14:ligatures w14:val="none"/>
        </w:rPr>
        <w:t>state specifics of the certificate relevant to the case, e.g., that plaintiff’s work is the original and copyrightable work of the author and that the plaintiff owns the copyright in that work</w:t>
      </w:r>
      <w:r w:rsidRPr="00845725">
        <w:rPr>
          <w:rFonts w:ascii="Times New Roman" w:eastAsia="Calibri" w:hAnsi="Times New Roman" w:cs="Times New Roman"/>
          <w:kern w:val="0"/>
          <w14:ligatures w14:val="none"/>
        </w:rPr>
        <w:t>], which I explain in Instructions [</w:t>
      </w:r>
      <w:r w:rsidRPr="00845725">
        <w:rPr>
          <w:rFonts w:ascii="Times New Roman" w:eastAsia="Calibri" w:hAnsi="Times New Roman" w:cs="Times New Roman"/>
          <w:i/>
          <w:iCs/>
          <w:kern w:val="0"/>
          <w:u w:val="single"/>
          <w14:ligatures w14:val="none"/>
        </w:rPr>
        <w:t>insert instruction numbers relevant to elements of plaintiff’s burden</w:t>
      </w:r>
      <w:r w:rsidRPr="00845725">
        <w:rPr>
          <w:rFonts w:ascii="Times New Roman" w:eastAsia="Calibri" w:hAnsi="Times New Roman" w:cs="Times New Roman"/>
          <w:kern w:val="0"/>
          <w14:ligatures w14:val="none"/>
        </w:rPr>
        <w:t>].</w:t>
      </w:r>
    </w:p>
    <w:p w14:paraId="3E513988"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b/>
          <w:bCs/>
          <w:kern w:val="0"/>
          <w14:ligatures w14:val="none"/>
        </w:rPr>
      </w:pPr>
    </w:p>
    <w:p w14:paraId="4D18EA67"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Comment</w:t>
      </w:r>
    </w:p>
    <w:p w14:paraId="4FE53CA5" w14:textId="77777777" w:rsidR="00CE3684" w:rsidRPr="00845725" w:rsidRDefault="00CE3684" w:rsidP="00CE3684">
      <w:pPr>
        <w:autoSpaceDE w:val="0"/>
        <w:autoSpaceDN w:val="0"/>
        <w:adjustRightInd w:val="0"/>
        <w:spacing w:after="0" w:line="240" w:lineRule="auto"/>
        <w:jc w:val="center"/>
        <w:rPr>
          <w:rFonts w:ascii="Times New Roman" w:eastAsia="Calibri" w:hAnsi="Times New Roman" w:cs="Times New Roman"/>
          <w:b/>
          <w:bCs/>
          <w:kern w:val="0"/>
          <w14:ligatures w14:val="none"/>
        </w:rPr>
      </w:pPr>
    </w:p>
    <w:p w14:paraId="28546DDE" w14:textId="77777777" w:rsidR="00CE3684" w:rsidRPr="00845725" w:rsidRDefault="00CE3684" w:rsidP="00CE3684">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i/>
          <w:iCs/>
          <w:kern w:val="0"/>
          <w14:ligatures w14:val="none"/>
        </w:rPr>
        <w:lastRenderedPageBreak/>
        <w:t xml:space="preserve">See </w:t>
      </w:r>
      <w:r w:rsidRPr="00845725">
        <w:rPr>
          <w:rFonts w:ascii="Times New Roman" w:eastAsia="Calibri" w:hAnsi="Times New Roman" w:cs="Times New Roman"/>
          <w:kern w:val="0"/>
          <w14:ligatures w14:val="none"/>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4A07B504" w14:textId="77777777" w:rsidR="00CE3684" w:rsidRPr="00845725" w:rsidRDefault="00CE3684" w:rsidP="00CE3684">
      <w:pPr>
        <w:autoSpaceDE w:val="0"/>
        <w:autoSpaceDN w:val="0"/>
        <w:adjustRightInd w:val="0"/>
        <w:spacing w:after="0" w:line="240" w:lineRule="auto"/>
        <w:rPr>
          <w:rFonts w:ascii="Times New Roman" w:eastAsia="Calibri" w:hAnsi="Times New Roman" w:cs="Times New Roman"/>
          <w:kern w:val="0"/>
          <w14:ligatures w14:val="none"/>
        </w:rPr>
      </w:pPr>
    </w:p>
    <w:p w14:paraId="659515CB" w14:textId="36D8A393" w:rsidR="00CE3684" w:rsidRPr="00CE3684" w:rsidRDefault="00CE3684" w:rsidP="00CE3684">
      <w:pPr>
        <w:autoSpaceDE w:val="0"/>
        <w:autoSpaceDN w:val="0"/>
        <w:adjustRightInd w:val="0"/>
        <w:spacing w:after="0" w:line="240" w:lineRule="auto"/>
        <w:jc w:val="right"/>
        <w:rPr>
          <w:rFonts w:ascii="Times New Roman" w:eastAsia="Calibri" w:hAnsi="Times New Roman" w:cs="Times New Roman"/>
          <w:i/>
          <w:iCs/>
          <w:kern w:val="0"/>
          <w14:ligatures w14:val="none"/>
        </w:rPr>
      </w:pPr>
      <w:r w:rsidRPr="0084572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sectPr w:rsidR="00CE3684" w:rsidRPr="00CE3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84"/>
    <w:rsid w:val="00920AE5"/>
    <w:rsid w:val="00CE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DA14"/>
  <w15:chartTrackingRefBased/>
  <w15:docId w15:val="{EF3F7953-445B-436A-AD6B-3FDB4AD3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84"/>
  </w:style>
  <w:style w:type="paragraph" w:styleId="Heading1">
    <w:name w:val="heading 1"/>
    <w:basedOn w:val="Normal"/>
    <w:next w:val="Normal"/>
    <w:link w:val="Heading1Char"/>
    <w:uiPriority w:val="9"/>
    <w:qFormat/>
    <w:rsid w:val="00CE3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684"/>
    <w:rPr>
      <w:rFonts w:eastAsiaTheme="majorEastAsia" w:cstheme="majorBidi"/>
      <w:color w:val="272727" w:themeColor="text1" w:themeTint="D8"/>
    </w:rPr>
  </w:style>
  <w:style w:type="paragraph" w:styleId="Title">
    <w:name w:val="Title"/>
    <w:basedOn w:val="Normal"/>
    <w:next w:val="Normal"/>
    <w:link w:val="TitleChar"/>
    <w:uiPriority w:val="10"/>
    <w:qFormat/>
    <w:rsid w:val="00CE3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684"/>
    <w:pPr>
      <w:spacing w:before="160"/>
      <w:jc w:val="center"/>
    </w:pPr>
    <w:rPr>
      <w:i/>
      <w:iCs/>
      <w:color w:val="404040" w:themeColor="text1" w:themeTint="BF"/>
    </w:rPr>
  </w:style>
  <w:style w:type="character" w:customStyle="1" w:styleId="QuoteChar">
    <w:name w:val="Quote Char"/>
    <w:basedOn w:val="DefaultParagraphFont"/>
    <w:link w:val="Quote"/>
    <w:uiPriority w:val="29"/>
    <w:rsid w:val="00CE3684"/>
    <w:rPr>
      <w:i/>
      <w:iCs/>
      <w:color w:val="404040" w:themeColor="text1" w:themeTint="BF"/>
    </w:rPr>
  </w:style>
  <w:style w:type="paragraph" w:styleId="ListParagraph">
    <w:name w:val="List Paragraph"/>
    <w:basedOn w:val="Normal"/>
    <w:uiPriority w:val="34"/>
    <w:qFormat/>
    <w:rsid w:val="00CE3684"/>
    <w:pPr>
      <w:ind w:left="720"/>
      <w:contextualSpacing/>
    </w:pPr>
  </w:style>
  <w:style w:type="character" w:styleId="IntenseEmphasis">
    <w:name w:val="Intense Emphasis"/>
    <w:basedOn w:val="DefaultParagraphFont"/>
    <w:uiPriority w:val="21"/>
    <w:qFormat/>
    <w:rsid w:val="00CE3684"/>
    <w:rPr>
      <w:i/>
      <w:iCs/>
      <w:color w:val="0F4761" w:themeColor="accent1" w:themeShade="BF"/>
    </w:rPr>
  </w:style>
  <w:style w:type="paragraph" w:styleId="IntenseQuote">
    <w:name w:val="Intense Quote"/>
    <w:basedOn w:val="Normal"/>
    <w:next w:val="Normal"/>
    <w:link w:val="IntenseQuoteChar"/>
    <w:uiPriority w:val="30"/>
    <w:qFormat/>
    <w:rsid w:val="00CE3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684"/>
    <w:rPr>
      <w:i/>
      <w:iCs/>
      <w:color w:val="0F4761" w:themeColor="accent1" w:themeShade="BF"/>
    </w:rPr>
  </w:style>
  <w:style w:type="character" w:styleId="IntenseReference">
    <w:name w:val="Intense Reference"/>
    <w:basedOn w:val="DefaultParagraphFont"/>
    <w:uiPriority w:val="32"/>
    <w:qFormat/>
    <w:rsid w:val="00CE3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6174</Characters>
  <Application>Microsoft Office Word</Application>
  <DocSecurity>0</DocSecurity>
  <Lines>51</Lines>
  <Paragraphs>14</Paragraphs>
  <ScaleCrop>false</ScaleCrop>
  <Company>United States Courts</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2025-11-10T05:53:00Z</dcterms:modified>
</cp:coreProperties>
</file>